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13C978" w14:textId="7F09629F" w:rsidR="001006D1" w:rsidRDefault="001F639B">
      <w:pPr>
        <w:jc w:val="center"/>
        <w:rPr>
          <w:b/>
        </w:rPr>
      </w:pPr>
      <w:bookmarkStart w:id="0" w:name="_Toc63241743"/>
      <w:r>
        <w:rPr>
          <w:b/>
        </w:rPr>
        <w:t>SOAH NO. 473-</w:t>
      </w:r>
      <w:r w:rsidR="00361534">
        <w:rPr>
          <w:b/>
        </w:rPr>
        <w:t>21</w:t>
      </w:r>
      <w:r>
        <w:rPr>
          <w:b/>
        </w:rPr>
        <w:t>-26</w:t>
      </w:r>
      <w:r w:rsidR="00361534">
        <w:rPr>
          <w:b/>
        </w:rPr>
        <w:t>06</w:t>
      </w:r>
    </w:p>
    <w:p w14:paraId="3625001F" w14:textId="34559DB4" w:rsidR="001006D1" w:rsidRDefault="001F639B">
      <w:pPr>
        <w:jc w:val="center"/>
        <w:rPr>
          <w:b/>
        </w:rPr>
      </w:pPr>
      <w:r>
        <w:rPr>
          <w:b/>
        </w:rPr>
        <w:t xml:space="preserve">PUC DOCKET NO. </w:t>
      </w:r>
      <w:r w:rsidR="00D00AC7">
        <w:rPr>
          <w:b/>
        </w:rPr>
        <w:t>52195</w:t>
      </w:r>
    </w:p>
    <w:p w14:paraId="44828518" w14:textId="77777777" w:rsidR="001006D1" w:rsidRDefault="001006D1">
      <w:pPr>
        <w:jc w:val="center"/>
        <w:rPr>
          <w:b/>
        </w:rPr>
      </w:pPr>
    </w:p>
    <w:tbl>
      <w:tblPr>
        <w:tblW w:w="0" w:type="auto"/>
        <w:tblLayout w:type="fixed"/>
        <w:tblLook w:val="0000" w:firstRow="0" w:lastRow="0" w:firstColumn="0" w:lastColumn="0" w:noHBand="0" w:noVBand="0"/>
      </w:tblPr>
      <w:tblGrid>
        <w:gridCol w:w="4698"/>
        <w:gridCol w:w="360"/>
        <w:gridCol w:w="4518"/>
      </w:tblGrid>
      <w:tr w:rsidR="001006D1" w14:paraId="69C3C163" w14:textId="77777777">
        <w:trPr>
          <w:trHeight w:val="100"/>
        </w:trPr>
        <w:tc>
          <w:tcPr>
            <w:tcW w:w="4698" w:type="dxa"/>
          </w:tcPr>
          <w:p w14:paraId="5E38CFC5" w14:textId="77777777" w:rsidR="001006D1" w:rsidRDefault="001F639B">
            <w:pPr>
              <w:rPr>
                <w:b/>
              </w:rPr>
            </w:pPr>
            <w:r>
              <w:rPr>
                <w:b/>
              </w:rPr>
              <w:t xml:space="preserve">APPLICATION OF EL PASO </w:t>
            </w:r>
            <w:r>
              <w:rPr>
                <w:b/>
              </w:rPr>
              <w:br/>
              <w:t xml:space="preserve">ELECTRIC COMPANY TO CHANGE RATES </w:t>
            </w:r>
          </w:p>
        </w:tc>
        <w:tc>
          <w:tcPr>
            <w:tcW w:w="360" w:type="dxa"/>
          </w:tcPr>
          <w:p w14:paraId="4487A18A" w14:textId="77777777" w:rsidR="001006D1" w:rsidRDefault="001F639B">
            <w:pPr>
              <w:jc w:val="center"/>
              <w:rPr>
                <w:b/>
              </w:rPr>
            </w:pPr>
            <w:r>
              <w:rPr>
                <w:b/>
              </w:rPr>
              <w:t>§</w:t>
            </w:r>
          </w:p>
          <w:p w14:paraId="224D1755" w14:textId="77777777" w:rsidR="001006D1" w:rsidRDefault="001F639B">
            <w:pPr>
              <w:jc w:val="center"/>
              <w:rPr>
                <w:b/>
              </w:rPr>
            </w:pPr>
            <w:r>
              <w:rPr>
                <w:b/>
              </w:rPr>
              <w:t>§§</w:t>
            </w:r>
          </w:p>
        </w:tc>
        <w:tc>
          <w:tcPr>
            <w:tcW w:w="4518" w:type="dxa"/>
          </w:tcPr>
          <w:p w14:paraId="0284D673" w14:textId="77777777" w:rsidR="001006D1" w:rsidRDefault="001F639B">
            <w:pPr>
              <w:jc w:val="center"/>
              <w:rPr>
                <w:b/>
              </w:rPr>
            </w:pPr>
            <w:r>
              <w:rPr>
                <w:b/>
              </w:rPr>
              <w:t>BEFORE THE STATE OFFICE</w:t>
            </w:r>
          </w:p>
          <w:p w14:paraId="3D23A097" w14:textId="77777777" w:rsidR="001006D1" w:rsidRDefault="001F639B">
            <w:pPr>
              <w:jc w:val="center"/>
              <w:rPr>
                <w:b/>
              </w:rPr>
            </w:pPr>
            <w:r>
              <w:rPr>
                <w:b/>
              </w:rPr>
              <w:t>OF</w:t>
            </w:r>
          </w:p>
          <w:p w14:paraId="1AD49E25" w14:textId="77777777" w:rsidR="001006D1" w:rsidRDefault="001F639B">
            <w:pPr>
              <w:jc w:val="center"/>
              <w:rPr>
                <w:b/>
              </w:rPr>
            </w:pPr>
            <w:r>
              <w:rPr>
                <w:b/>
              </w:rPr>
              <w:t>ADMINISTRATIVE HEARINGS</w:t>
            </w:r>
          </w:p>
        </w:tc>
      </w:tr>
    </w:tbl>
    <w:p w14:paraId="15DEEBE7" w14:textId="77777777" w:rsidR="001006D1" w:rsidRDefault="001006D1">
      <w:pPr>
        <w:spacing w:line="480" w:lineRule="auto"/>
        <w:jc w:val="center"/>
        <w:rPr>
          <w:b/>
          <w:u w:val="single"/>
        </w:rPr>
      </w:pPr>
    </w:p>
    <w:p w14:paraId="240CB6D7" w14:textId="77777777" w:rsidR="001006D1" w:rsidRDefault="001006D1">
      <w:pPr>
        <w:spacing w:line="480" w:lineRule="auto"/>
        <w:jc w:val="center"/>
        <w:rPr>
          <w:b/>
          <w:u w:val="single"/>
        </w:rPr>
      </w:pPr>
    </w:p>
    <w:p w14:paraId="16CF193E" w14:textId="77777777" w:rsidR="001006D1" w:rsidRDefault="001006D1">
      <w:pPr>
        <w:spacing w:line="480" w:lineRule="auto"/>
        <w:jc w:val="center"/>
        <w:rPr>
          <w:b/>
          <w:u w:val="single"/>
        </w:rPr>
      </w:pPr>
    </w:p>
    <w:p w14:paraId="22082FC6" w14:textId="77777777" w:rsidR="001006D1" w:rsidRDefault="001006D1">
      <w:pPr>
        <w:spacing w:line="480" w:lineRule="auto"/>
        <w:jc w:val="center"/>
        <w:rPr>
          <w:b/>
          <w:u w:val="single"/>
        </w:rPr>
      </w:pPr>
    </w:p>
    <w:p w14:paraId="2F1D8703" w14:textId="77777777" w:rsidR="001006D1" w:rsidRDefault="001006D1">
      <w:pPr>
        <w:spacing w:line="480" w:lineRule="auto"/>
        <w:jc w:val="center"/>
        <w:rPr>
          <w:b/>
          <w:u w:val="single"/>
        </w:rPr>
      </w:pPr>
    </w:p>
    <w:p w14:paraId="1AD14DE4" w14:textId="77777777" w:rsidR="001006D1" w:rsidRDefault="001006D1">
      <w:pPr>
        <w:spacing w:line="480" w:lineRule="auto"/>
        <w:jc w:val="center"/>
        <w:rPr>
          <w:b/>
          <w:u w:val="single"/>
        </w:rPr>
      </w:pPr>
    </w:p>
    <w:p w14:paraId="6AA5E876" w14:textId="77777777" w:rsidR="001006D1" w:rsidRDefault="001F639B">
      <w:pPr>
        <w:spacing w:line="480" w:lineRule="auto"/>
        <w:jc w:val="center"/>
        <w:rPr>
          <w:b/>
        </w:rPr>
      </w:pPr>
      <w:r>
        <w:rPr>
          <w:b/>
        </w:rPr>
        <w:t>DIRECT TESTIMONY</w:t>
      </w:r>
    </w:p>
    <w:p w14:paraId="79D3DF64" w14:textId="77777777" w:rsidR="001006D1" w:rsidRDefault="001F639B">
      <w:pPr>
        <w:spacing w:line="480" w:lineRule="auto"/>
        <w:jc w:val="center"/>
        <w:rPr>
          <w:b/>
        </w:rPr>
      </w:pPr>
      <w:r>
        <w:rPr>
          <w:b/>
        </w:rPr>
        <w:t>OF</w:t>
      </w:r>
    </w:p>
    <w:p w14:paraId="502DE814" w14:textId="77777777" w:rsidR="001006D1" w:rsidRDefault="001F639B">
      <w:pPr>
        <w:spacing w:line="480" w:lineRule="auto"/>
        <w:jc w:val="center"/>
        <w:rPr>
          <w:b/>
        </w:rPr>
      </w:pPr>
      <w:r>
        <w:rPr>
          <w:b/>
        </w:rPr>
        <w:t>KEVIN C. HIGGINS</w:t>
      </w:r>
    </w:p>
    <w:p w14:paraId="0C2D1EB6" w14:textId="77777777" w:rsidR="001006D1" w:rsidRDefault="001F639B">
      <w:pPr>
        <w:spacing w:line="480" w:lineRule="auto"/>
        <w:jc w:val="center"/>
        <w:rPr>
          <w:b/>
        </w:rPr>
      </w:pPr>
      <w:r>
        <w:rPr>
          <w:b/>
        </w:rPr>
        <w:t>FOR</w:t>
      </w:r>
    </w:p>
    <w:p w14:paraId="39FFDE9F" w14:textId="77777777" w:rsidR="001006D1" w:rsidRDefault="001F639B">
      <w:pPr>
        <w:spacing w:line="480" w:lineRule="auto"/>
        <w:jc w:val="center"/>
        <w:rPr>
          <w:b/>
        </w:rPr>
      </w:pPr>
      <w:r>
        <w:rPr>
          <w:b/>
        </w:rPr>
        <w:t>TEXAS INDUSTRIAL ENERGY CONSUMERS</w:t>
      </w:r>
    </w:p>
    <w:p w14:paraId="280C3D93" w14:textId="77777777" w:rsidR="001006D1" w:rsidRDefault="001006D1">
      <w:pPr>
        <w:spacing w:line="480" w:lineRule="auto"/>
        <w:jc w:val="center"/>
        <w:rPr>
          <w:b/>
        </w:rPr>
      </w:pPr>
    </w:p>
    <w:p w14:paraId="78A2F2A3" w14:textId="77777777" w:rsidR="001006D1" w:rsidRDefault="001006D1">
      <w:pPr>
        <w:spacing w:line="480" w:lineRule="auto"/>
        <w:jc w:val="center"/>
        <w:rPr>
          <w:b/>
        </w:rPr>
      </w:pPr>
    </w:p>
    <w:p w14:paraId="1E4346EF" w14:textId="0102C804" w:rsidR="001006D1" w:rsidRDefault="00D00AC7">
      <w:pPr>
        <w:spacing w:line="480" w:lineRule="auto"/>
        <w:jc w:val="center"/>
        <w:rPr>
          <w:b/>
        </w:rPr>
      </w:pPr>
      <w:r>
        <w:rPr>
          <w:b/>
        </w:rPr>
        <w:t>October 22</w:t>
      </w:r>
      <w:r w:rsidR="001F639B">
        <w:rPr>
          <w:b/>
        </w:rPr>
        <w:t>, 20</w:t>
      </w:r>
      <w:r>
        <w:rPr>
          <w:b/>
        </w:rPr>
        <w:t>21</w:t>
      </w:r>
    </w:p>
    <w:p w14:paraId="16051213" w14:textId="77777777" w:rsidR="001006D1" w:rsidRDefault="001006D1">
      <w:pPr>
        <w:spacing w:line="480" w:lineRule="auto"/>
        <w:jc w:val="center"/>
        <w:rPr>
          <w:b/>
        </w:rPr>
      </w:pPr>
    </w:p>
    <w:p w14:paraId="5B930ECF" w14:textId="77777777" w:rsidR="001006D1" w:rsidRDefault="001006D1">
      <w:pPr>
        <w:spacing w:line="480" w:lineRule="auto"/>
        <w:jc w:val="center"/>
        <w:rPr>
          <w:b/>
        </w:rPr>
      </w:pPr>
    </w:p>
    <w:p w14:paraId="33AC05F9" w14:textId="77777777" w:rsidR="001006D1" w:rsidRDefault="001006D1">
      <w:pPr>
        <w:spacing w:line="480" w:lineRule="auto"/>
        <w:jc w:val="center"/>
        <w:rPr>
          <w:b/>
        </w:rPr>
      </w:pPr>
    </w:p>
    <w:p w14:paraId="696DF513" w14:textId="77777777" w:rsidR="001006D1" w:rsidRDefault="001006D1">
      <w:pPr>
        <w:spacing w:line="480" w:lineRule="auto"/>
        <w:jc w:val="center"/>
        <w:rPr>
          <w:b/>
        </w:rPr>
      </w:pPr>
    </w:p>
    <w:p w14:paraId="4B847A64" w14:textId="77777777" w:rsidR="00DA22E8" w:rsidRDefault="00DA22E8">
      <w:pPr>
        <w:spacing w:line="480" w:lineRule="auto"/>
        <w:jc w:val="center"/>
        <w:rPr>
          <w:b/>
        </w:rPr>
        <w:sectPr w:rsidR="00DA22E8">
          <w:headerReference w:type="first" r:id="rId8"/>
          <w:pgSz w:w="12240" w:h="15840" w:code="1"/>
          <w:pgMar w:top="1440" w:right="1440" w:bottom="1440" w:left="1440" w:header="720" w:footer="720" w:gutter="0"/>
          <w:pgNumType w:start="0"/>
          <w:cols w:space="720"/>
          <w:titlePg/>
          <w:docGrid w:linePitch="360"/>
        </w:sectPr>
      </w:pPr>
    </w:p>
    <w:p w14:paraId="6F8C8341" w14:textId="77777777" w:rsidR="001006D1" w:rsidRDefault="001F639B" w:rsidP="004C6460">
      <w:pPr>
        <w:pStyle w:val="Title"/>
        <w:suppressLineNumbers/>
        <w:spacing w:line="360" w:lineRule="auto"/>
      </w:pPr>
      <w:r w:rsidRPr="000C0237">
        <w:lastRenderedPageBreak/>
        <w:t>TABLE OF CONTENTS</w:t>
      </w:r>
    </w:p>
    <w:p w14:paraId="7C94381D" w14:textId="77777777" w:rsidR="001006D1" w:rsidRDefault="001F639B" w:rsidP="004C6460">
      <w:pPr>
        <w:pStyle w:val="TOC1"/>
        <w:suppressLineNumbers/>
      </w:pPr>
      <w:r>
        <w:tab/>
      </w:r>
    </w:p>
    <w:p w14:paraId="5B464A72" w14:textId="680A4B81" w:rsidR="00B93F99" w:rsidRDefault="007148BE">
      <w:pPr>
        <w:pStyle w:val="TOC1"/>
        <w:rPr>
          <w:rFonts w:asciiTheme="minorHAnsi" w:eastAsiaTheme="minorEastAsia" w:hAnsiTheme="minorHAnsi" w:cstheme="minorBidi"/>
          <w:noProof/>
          <w:sz w:val="22"/>
          <w:szCs w:val="22"/>
        </w:rPr>
      </w:pPr>
      <w:r>
        <w:fldChar w:fldCharType="begin"/>
      </w:r>
      <w:r>
        <w:instrText xml:space="preserve"> TOC \o "1-3" \h \z \u </w:instrText>
      </w:r>
      <w:r>
        <w:fldChar w:fldCharType="separate"/>
      </w:r>
      <w:hyperlink w:anchor="_Toc85714075" w:history="1">
        <w:r w:rsidR="00B93F99" w:rsidRPr="00113473">
          <w:rPr>
            <w:rStyle w:val="Hyperlink"/>
            <w:noProof/>
          </w:rPr>
          <w:t>I.</w:t>
        </w:r>
        <w:r w:rsidR="00B93F99">
          <w:rPr>
            <w:rFonts w:asciiTheme="minorHAnsi" w:eastAsiaTheme="minorEastAsia" w:hAnsiTheme="minorHAnsi" w:cstheme="minorBidi"/>
            <w:noProof/>
            <w:sz w:val="22"/>
            <w:szCs w:val="22"/>
          </w:rPr>
          <w:tab/>
        </w:r>
        <w:r w:rsidR="00B93F99" w:rsidRPr="00113473">
          <w:rPr>
            <w:rStyle w:val="Hyperlink"/>
            <w:noProof/>
          </w:rPr>
          <w:t>INTRODUCTION</w:t>
        </w:r>
        <w:r w:rsidR="00B93F99">
          <w:rPr>
            <w:noProof/>
            <w:webHidden/>
          </w:rPr>
          <w:tab/>
        </w:r>
        <w:r w:rsidR="00B93F99">
          <w:rPr>
            <w:noProof/>
            <w:webHidden/>
          </w:rPr>
          <w:fldChar w:fldCharType="begin"/>
        </w:r>
        <w:r w:rsidR="00B93F99">
          <w:rPr>
            <w:noProof/>
            <w:webHidden/>
          </w:rPr>
          <w:instrText xml:space="preserve"> PAGEREF _Toc85714075 \h </w:instrText>
        </w:r>
        <w:r w:rsidR="00B93F99">
          <w:rPr>
            <w:noProof/>
            <w:webHidden/>
          </w:rPr>
        </w:r>
        <w:r w:rsidR="00B93F99">
          <w:rPr>
            <w:noProof/>
            <w:webHidden/>
          </w:rPr>
          <w:fldChar w:fldCharType="separate"/>
        </w:r>
        <w:r w:rsidR="008A3572">
          <w:rPr>
            <w:noProof/>
            <w:webHidden/>
          </w:rPr>
          <w:t>1</w:t>
        </w:r>
        <w:r w:rsidR="00B93F99">
          <w:rPr>
            <w:noProof/>
            <w:webHidden/>
          </w:rPr>
          <w:fldChar w:fldCharType="end"/>
        </w:r>
      </w:hyperlink>
    </w:p>
    <w:p w14:paraId="32A2D8D2" w14:textId="176BA392" w:rsidR="00B93F99" w:rsidRDefault="008A3572">
      <w:pPr>
        <w:pStyle w:val="TOC1"/>
        <w:rPr>
          <w:rFonts w:asciiTheme="minorHAnsi" w:eastAsiaTheme="minorEastAsia" w:hAnsiTheme="minorHAnsi" w:cstheme="minorBidi"/>
          <w:noProof/>
          <w:sz w:val="22"/>
          <w:szCs w:val="22"/>
        </w:rPr>
      </w:pPr>
      <w:hyperlink w:anchor="_Toc85714076" w:history="1">
        <w:r w:rsidR="00B93F99" w:rsidRPr="00113473">
          <w:rPr>
            <w:rStyle w:val="Hyperlink"/>
            <w:noProof/>
          </w:rPr>
          <w:t>II.</w:t>
        </w:r>
        <w:r w:rsidR="00B93F99">
          <w:rPr>
            <w:rFonts w:asciiTheme="minorHAnsi" w:eastAsiaTheme="minorEastAsia" w:hAnsiTheme="minorHAnsi" w:cstheme="minorBidi"/>
            <w:noProof/>
            <w:sz w:val="22"/>
            <w:szCs w:val="22"/>
          </w:rPr>
          <w:tab/>
        </w:r>
        <w:r w:rsidR="00B93F99" w:rsidRPr="00113473">
          <w:rPr>
            <w:rStyle w:val="Hyperlink"/>
            <w:noProof/>
          </w:rPr>
          <w:t>OVERVIEW AND CONCLUSIONS</w:t>
        </w:r>
        <w:r w:rsidR="00B93F99">
          <w:rPr>
            <w:noProof/>
            <w:webHidden/>
          </w:rPr>
          <w:tab/>
        </w:r>
        <w:r w:rsidR="00B93F99">
          <w:rPr>
            <w:noProof/>
            <w:webHidden/>
          </w:rPr>
          <w:fldChar w:fldCharType="begin"/>
        </w:r>
        <w:r w:rsidR="00B93F99">
          <w:rPr>
            <w:noProof/>
            <w:webHidden/>
          </w:rPr>
          <w:instrText xml:space="preserve"> PAGEREF _Toc85714076 \h </w:instrText>
        </w:r>
        <w:r w:rsidR="00B93F99">
          <w:rPr>
            <w:noProof/>
            <w:webHidden/>
          </w:rPr>
        </w:r>
        <w:r w:rsidR="00B93F99">
          <w:rPr>
            <w:noProof/>
            <w:webHidden/>
          </w:rPr>
          <w:fldChar w:fldCharType="separate"/>
        </w:r>
        <w:r>
          <w:rPr>
            <w:noProof/>
            <w:webHidden/>
          </w:rPr>
          <w:t>2</w:t>
        </w:r>
        <w:r w:rsidR="00B93F99">
          <w:rPr>
            <w:noProof/>
            <w:webHidden/>
          </w:rPr>
          <w:fldChar w:fldCharType="end"/>
        </w:r>
      </w:hyperlink>
    </w:p>
    <w:p w14:paraId="2C64CF3A" w14:textId="0F99831B" w:rsidR="00B93F99" w:rsidRDefault="008A3572">
      <w:pPr>
        <w:pStyle w:val="TOC1"/>
        <w:rPr>
          <w:rFonts w:asciiTheme="minorHAnsi" w:eastAsiaTheme="minorEastAsia" w:hAnsiTheme="minorHAnsi" w:cstheme="minorBidi"/>
          <w:noProof/>
          <w:sz w:val="22"/>
          <w:szCs w:val="22"/>
        </w:rPr>
      </w:pPr>
      <w:hyperlink w:anchor="_Toc85714077" w:history="1">
        <w:r w:rsidR="00B93F99" w:rsidRPr="00113473">
          <w:rPr>
            <w:rStyle w:val="Hyperlink"/>
            <w:noProof/>
          </w:rPr>
          <w:t>III.</w:t>
        </w:r>
        <w:r w:rsidR="00B93F99">
          <w:rPr>
            <w:rFonts w:asciiTheme="minorHAnsi" w:eastAsiaTheme="minorEastAsia" w:hAnsiTheme="minorHAnsi" w:cstheme="minorBidi"/>
            <w:noProof/>
            <w:sz w:val="22"/>
            <w:szCs w:val="22"/>
          </w:rPr>
          <w:tab/>
        </w:r>
        <w:r w:rsidR="00B93F99" w:rsidRPr="00113473">
          <w:rPr>
            <w:rStyle w:val="Hyperlink"/>
            <w:noProof/>
          </w:rPr>
          <w:t>REVENUE REQUIREMENT</w:t>
        </w:r>
        <w:r w:rsidR="00B93F99">
          <w:rPr>
            <w:noProof/>
            <w:webHidden/>
          </w:rPr>
          <w:tab/>
        </w:r>
        <w:r w:rsidR="00B93F99">
          <w:rPr>
            <w:noProof/>
            <w:webHidden/>
          </w:rPr>
          <w:fldChar w:fldCharType="begin"/>
        </w:r>
        <w:r w:rsidR="00B93F99">
          <w:rPr>
            <w:noProof/>
            <w:webHidden/>
          </w:rPr>
          <w:instrText xml:space="preserve"> PAGEREF _Toc85714077 \h </w:instrText>
        </w:r>
        <w:r w:rsidR="00B93F99">
          <w:rPr>
            <w:noProof/>
            <w:webHidden/>
          </w:rPr>
        </w:r>
        <w:r w:rsidR="00B93F99">
          <w:rPr>
            <w:noProof/>
            <w:webHidden/>
          </w:rPr>
          <w:fldChar w:fldCharType="separate"/>
        </w:r>
        <w:r>
          <w:rPr>
            <w:noProof/>
            <w:webHidden/>
          </w:rPr>
          <w:t>6</w:t>
        </w:r>
        <w:r w:rsidR="00B93F99">
          <w:rPr>
            <w:noProof/>
            <w:webHidden/>
          </w:rPr>
          <w:fldChar w:fldCharType="end"/>
        </w:r>
      </w:hyperlink>
    </w:p>
    <w:p w14:paraId="326E9CDE" w14:textId="3CFCF4C1" w:rsidR="00B93F99" w:rsidRDefault="008A3572">
      <w:pPr>
        <w:pStyle w:val="TOC3"/>
        <w:tabs>
          <w:tab w:val="right" w:pos="9350"/>
        </w:tabs>
        <w:rPr>
          <w:rFonts w:asciiTheme="minorHAnsi" w:eastAsiaTheme="minorEastAsia" w:hAnsiTheme="minorHAnsi" w:cstheme="minorBidi"/>
          <w:noProof/>
          <w:sz w:val="22"/>
          <w:szCs w:val="22"/>
        </w:rPr>
      </w:pPr>
      <w:hyperlink w:anchor="_Toc85714078" w:history="1">
        <w:r w:rsidR="00B93F99" w:rsidRPr="00113473">
          <w:rPr>
            <w:rStyle w:val="Hyperlink"/>
            <w:noProof/>
          </w:rPr>
          <w:t>Supplemental Executive Retirement Plan and Excess Benefit Plan</w:t>
        </w:r>
        <w:r w:rsidR="00B93F99">
          <w:rPr>
            <w:noProof/>
            <w:webHidden/>
          </w:rPr>
          <w:tab/>
        </w:r>
        <w:r w:rsidR="00B93F99">
          <w:rPr>
            <w:noProof/>
            <w:webHidden/>
          </w:rPr>
          <w:fldChar w:fldCharType="begin"/>
        </w:r>
        <w:r w:rsidR="00B93F99">
          <w:rPr>
            <w:noProof/>
            <w:webHidden/>
          </w:rPr>
          <w:instrText xml:space="preserve"> PAGEREF _Toc85714078 \h </w:instrText>
        </w:r>
        <w:r w:rsidR="00B93F99">
          <w:rPr>
            <w:noProof/>
            <w:webHidden/>
          </w:rPr>
        </w:r>
        <w:r w:rsidR="00B93F99">
          <w:rPr>
            <w:noProof/>
            <w:webHidden/>
          </w:rPr>
          <w:fldChar w:fldCharType="separate"/>
        </w:r>
        <w:r>
          <w:rPr>
            <w:noProof/>
            <w:webHidden/>
          </w:rPr>
          <w:t>6</w:t>
        </w:r>
        <w:r w:rsidR="00B93F99">
          <w:rPr>
            <w:noProof/>
            <w:webHidden/>
          </w:rPr>
          <w:fldChar w:fldCharType="end"/>
        </w:r>
      </w:hyperlink>
    </w:p>
    <w:p w14:paraId="5884BE59" w14:textId="5BC022C9" w:rsidR="00B93F99" w:rsidRDefault="008A3572">
      <w:pPr>
        <w:pStyle w:val="TOC3"/>
        <w:tabs>
          <w:tab w:val="right" w:pos="9350"/>
        </w:tabs>
        <w:rPr>
          <w:rFonts w:asciiTheme="minorHAnsi" w:eastAsiaTheme="minorEastAsia" w:hAnsiTheme="minorHAnsi" w:cstheme="minorBidi"/>
          <w:noProof/>
          <w:sz w:val="22"/>
          <w:szCs w:val="22"/>
        </w:rPr>
      </w:pPr>
      <w:hyperlink w:anchor="_Toc85714079" w:history="1">
        <w:r w:rsidR="00B93F99" w:rsidRPr="00113473">
          <w:rPr>
            <w:rStyle w:val="Hyperlink"/>
            <w:noProof/>
          </w:rPr>
          <w:t>Palo Verde Incentive Compensation</w:t>
        </w:r>
        <w:r w:rsidR="00B93F99">
          <w:rPr>
            <w:noProof/>
            <w:webHidden/>
          </w:rPr>
          <w:tab/>
        </w:r>
        <w:r w:rsidR="00B93F99">
          <w:rPr>
            <w:noProof/>
            <w:webHidden/>
          </w:rPr>
          <w:fldChar w:fldCharType="begin"/>
        </w:r>
        <w:r w:rsidR="00B93F99">
          <w:rPr>
            <w:noProof/>
            <w:webHidden/>
          </w:rPr>
          <w:instrText xml:space="preserve"> PAGEREF _Toc85714079 \h </w:instrText>
        </w:r>
        <w:r w:rsidR="00B93F99">
          <w:rPr>
            <w:noProof/>
            <w:webHidden/>
          </w:rPr>
        </w:r>
        <w:r w:rsidR="00B93F99">
          <w:rPr>
            <w:noProof/>
            <w:webHidden/>
          </w:rPr>
          <w:fldChar w:fldCharType="separate"/>
        </w:r>
        <w:r>
          <w:rPr>
            <w:noProof/>
            <w:webHidden/>
          </w:rPr>
          <w:t>8</w:t>
        </w:r>
        <w:r w:rsidR="00B93F99">
          <w:rPr>
            <w:noProof/>
            <w:webHidden/>
          </w:rPr>
          <w:fldChar w:fldCharType="end"/>
        </w:r>
      </w:hyperlink>
    </w:p>
    <w:p w14:paraId="77874408" w14:textId="1CDEE477" w:rsidR="00B93F99" w:rsidRDefault="008A3572">
      <w:pPr>
        <w:pStyle w:val="TOC3"/>
        <w:tabs>
          <w:tab w:val="right" w:pos="9350"/>
        </w:tabs>
        <w:rPr>
          <w:rFonts w:asciiTheme="minorHAnsi" w:eastAsiaTheme="minorEastAsia" w:hAnsiTheme="minorHAnsi" w:cstheme="minorBidi"/>
          <w:noProof/>
          <w:sz w:val="22"/>
          <w:szCs w:val="22"/>
        </w:rPr>
      </w:pPr>
      <w:hyperlink w:anchor="_Toc85714080" w:history="1">
        <w:r w:rsidR="00B93F99" w:rsidRPr="00113473">
          <w:rPr>
            <w:rStyle w:val="Hyperlink"/>
            <w:noProof/>
          </w:rPr>
          <w:t>Revolving Credit Facility Commitment Fees</w:t>
        </w:r>
        <w:r w:rsidR="00B93F99">
          <w:rPr>
            <w:noProof/>
            <w:webHidden/>
          </w:rPr>
          <w:tab/>
        </w:r>
        <w:r w:rsidR="00B93F99">
          <w:rPr>
            <w:noProof/>
            <w:webHidden/>
          </w:rPr>
          <w:fldChar w:fldCharType="begin"/>
        </w:r>
        <w:r w:rsidR="00B93F99">
          <w:rPr>
            <w:noProof/>
            <w:webHidden/>
          </w:rPr>
          <w:instrText xml:space="preserve"> PAGEREF _Toc85714080 \h </w:instrText>
        </w:r>
        <w:r w:rsidR="00B93F99">
          <w:rPr>
            <w:noProof/>
            <w:webHidden/>
          </w:rPr>
        </w:r>
        <w:r w:rsidR="00B93F99">
          <w:rPr>
            <w:noProof/>
            <w:webHidden/>
          </w:rPr>
          <w:fldChar w:fldCharType="separate"/>
        </w:r>
        <w:r>
          <w:rPr>
            <w:noProof/>
            <w:webHidden/>
          </w:rPr>
          <w:t>9</w:t>
        </w:r>
        <w:r w:rsidR="00B93F99">
          <w:rPr>
            <w:noProof/>
            <w:webHidden/>
          </w:rPr>
          <w:fldChar w:fldCharType="end"/>
        </w:r>
      </w:hyperlink>
    </w:p>
    <w:p w14:paraId="1B49CFBC" w14:textId="5531417E" w:rsidR="00B93F99" w:rsidRDefault="008A3572">
      <w:pPr>
        <w:pStyle w:val="TOC3"/>
        <w:tabs>
          <w:tab w:val="right" w:pos="9350"/>
        </w:tabs>
        <w:rPr>
          <w:rFonts w:asciiTheme="minorHAnsi" w:eastAsiaTheme="minorEastAsia" w:hAnsiTheme="minorHAnsi" w:cstheme="minorBidi"/>
          <w:noProof/>
          <w:sz w:val="22"/>
          <w:szCs w:val="22"/>
        </w:rPr>
      </w:pPr>
      <w:hyperlink w:anchor="_Toc85714081" w:history="1">
        <w:r w:rsidR="00B93F99" w:rsidRPr="00113473">
          <w:rPr>
            <w:rStyle w:val="Hyperlink"/>
            <w:noProof/>
          </w:rPr>
          <w:t>Accumulated Depreciation – Annualization Adjustment</w:t>
        </w:r>
        <w:r w:rsidR="00B93F99">
          <w:rPr>
            <w:noProof/>
            <w:webHidden/>
          </w:rPr>
          <w:tab/>
        </w:r>
        <w:r w:rsidR="00B93F99">
          <w:rPr>
            <w:noProof/>
            <w:webHidden/>
          </w:rPr>
          <w:fldChar w:fldCharType="begin"/>
        </w:r>
        <w:r w:rsidR="00B93F99">
          <w:rPr>
            <w:noProof/>
            <w:webHidden/>
          </w:rPr>
          <w:instrText xml:space="preserve"> PAGEREF _Toc85714081 \h </w:instrText>
        </w:r>
        <w:r w:rsidR="00B93F99">
          <w:rPr>
            <w:noProof/>
            <w:webHidden/>
          </w:rPr>
        </w:r>
        <w:r w:rsidR="00B93F99">
          <w:rPr>
            <w:noProof/>
            <w:webHidden/>
          </w:rPr>
          <w:fldChar w:fldCharType="separate"/>
        </w:r>
        <w:r>
          <w:rPr>
            <w:noProof/>
            <w:webHidden/>
          </w:rPr>
          <w:t>10</w:t>
        </w:r>
        <w:r w:rsidR="00B93F99">
          <w:rPr>
            <w:noProof/>
            <w:webHidden/>
          </w:rPr>
          <w:fldChar w:fldCharType="end"/>
        </w:r>
      </w:hyperlink>
    </w:p>
    <w:p w14:paraId="79B31744" w14:textId="69DA1EEE" w:rsidR="00B93F99" w:rsidRDefault="008A3572">
      <w:pPr>
        <w:pStyle w:val="TOC1"/>
        <w:rPr>
          <w:rFonts w:asciiTheme="minorHAnsi" w:eastAsiaTheme="minorEastAsia" w:hAnsiTheme="minorHAnsi" w:cstheme="minorBidi"/>
          <w:noProof/>
          <w:sz w:val="22"/>
          <w:szCs w:val="22"/>
        </w:rPr>
      </w:pPr>
      <w:hyperlink w:anchor="_Toc85714082" w:history="1">
        <w:r w:rsidR="00B93F99" w:rsidRPr="00113473">
          <w:rPr>
            <w:rStyle w:val="Hyperlink"/>
            <w:noProof/>
          </w:rPr>
          <w:t>IV.</w:t>
        </w:r>
        <w:r w:rsidR="00B93F99">
          <w:rPr>
            <w:rFonts w:asciiTheme="minorHAnsi" w:eastAsiaTheme="minorEastAsia" w:hAnsiTheme="minorHAnsi" w:cstheme="minorBidi"/>
            <w:noProof/>
            <w:sz w:val="22"/>
            <w:szCs w:val="22"/>
          </w:rPr>
          <w:tab/>
        </w:r>
        <w:r w:rsidR="00B93F99" w:rsidRPr="00113473">
          <w:rPr>
            <w:rStyle w:val="Hyperlink"/>
            <w:noProof/>
          </w:rPr>
          <w:t>JURISDICTIONAL COST ALLOCATION</w:t>
        </w:r>
        <w:r w:rsidR="00B93F99">
          <w:rPr>
            <w:noProof/>
            <w:webHidden/>
          </w:rPr>
          <w:tab/>
        </w:r>
        <w:r w:rsidR="00B93F99">
          <w:rPr>
            <w:noProof/>
            <w:webHidden/>
          </w:rPr>
          <w:fldChar w:fldCharType="begin"/>
        </w:r>
        <w:r w:rsidR="00B93F99">
          <w:rPr>
            <w:noProof/>
            <w:webHidden/>
          </w:rPr>
          <w:instrText xml:space="preserve"> PAGEREF _Toc85714082 \h </w:instrText>
        </w:r>
        <w:r w:rsidR="00B93F99">
          <w:rPr>
            <w:noProof/>
            <w:webHidden/>
          </w:rPr>
        </w:r>
        <w:r w:rsidR="00B93F99">
          <w:rPr>
            <w:noProof/>
            <w:webHidden/>
          </w:rPr>
          <w:fldChar w:fldCharType="separate"/>
        </w:r>
        <w:r>
          <w:rPr>
            <w:noProof/>
            <w:webHidden/>
          </w:rPr>
          <w:t>12</w:t>
        </w:r>
        <w:r w:rsidR="00B93F99">
          <w:rPr>
            <w:noProof/>
            <w:webHidden/>
          </w:rPr>
          <w:fldChar w:fldCharType="end"/>
        </w:r>
      </w:hyperlink>
    </w:p>
    <w:p w14:paraId="66907FD7" w14:textId="3A58285D" w:rsidR="00B93F99" w:rsidRDefault="008A3572">
      <w:pPr>
        <w:pStyle w:val="TOC3"/>
        <w:tabs>
          <w:tab w:val="right" w:pos="9350"/>
        </w:tabs>
        <w:rPr>
          <w:rFonts w:asciiTheme="minorHAnsi" w:eastAsiaTheme="minorEastAsia" w:hAnsiTheme="minorHAnsi" w:cstheme="minorBidi"/>
          <w:noProof/>
          <w:sz w:val="22"/>
          <w:szCs w:val="22"/>
        </w:rPr>
      </w:pPr>
      <w:hyperlink w:anchor="_Toc85714083" w:history="1">
        <w:r w:rsidR="00B93F99" w:rsidRPr="00113473">
          <w:rPr>
            <w:rStyle w:val="Hyperlink"/>
            <w:noProof/>
          </w:rPr>
          <w:t>Summary of EPE’s Methods</w:t>
        </w:r>
        <w:r w:rsidR="00B93F99">
          <w:rPr>
            <w:noProof/>
            <w:webHidden/>
          </w:rPr>
          <w:tab/>
        </w:r>
        <w:r w:rsidR="00B93F99">
          <w:rPr>
            <w:noProof/>
            <w:webHidden/>
          </w:rPr>
          <w:fldChar w:fldCharType="begin"/>
        </w:r>
        <w:r w:rsidR="00B93F99">
          <w:rPr>
            <w:noProof/>
            <w:webHidden/>
          </w:rPr>
          <w:instrText xml:space="preserve"> PAGEREF _Toc85714083 \h </w:instrText>
        </w:r>
        <w:r w:rsidR="00B93F99">
          <w:rPr>
            <w:noProof/>
            <w:webHidden/>
          </w:rPr>
        </w:r>
        <w:r w:rsidR="00B93F99">
          <w:rPr>
            <w:noProof/>
            <w:webHidden/>
          </w:rPr>
          <w:fldChar w:fldCharType="separate"/>
        </w:r>
        <w:r>
          <w:rPr>
            <w:noProof/>
            <w:webHidden/>
          </w:rPr>
          <w:t>12</w:t>
        </w:r>
        <w:r w:rsidR="00B93F99">
          <w:rPr>
            <w:noProof/>
            <w:webHidden/>
          </w:rPr>
          <w:fldChar w:fldCharType="end"/>
        </w:r>
      </w:hyperlink>
    </w:p>
    <w:p w14:paraId="508549EC" w14:textId="28EE4A63" w:rsidR="00B93F99" w:rsidRDefault="008A3572">
      <w:pPr>
        <w:pStyle w:val="TOC3"/>
        <w:tabs>
          <w:tab w:val="right" w:pos="9350"/>
        </w:tabs>
        <w:rPr>
          <w:rFonts w:asciiTheme="minorHAnsi" w:eastAsiaTheme="minorEastAsia" w:hAnsiTheme="minorHAnsi" w:cstheme="minorBidi"/>
          <w:noProof/>
          <w:sz w:val="22"/>
          <w:szCs w:val="22"/>
        </w:rPr>
      </w:pPr>
      <w:hyperlink w:anchor="_Toc85714084" w:history="1">
        <w:r w:rsidR="00B93F99" w:rsidRPr="00113473">
          <w:rPr>
            <w:rStyle w:val="Hyperlink"/>
            <w:noProof/>
          </w:rPr>
          <w:t>Solar Plant Capacity Attribution</w:t>
        </w:r>
        <w:r w:rsidR="00B93F99">
          <w:rPr>
            <w:noProof/>
            <w:webHidden/>
          </w:rPr>
          <w:tab/>
        </w:r>
        <w:r w:rsidR="00B93F99">
          <w:rPr>
            <w:noProof/>
            <w:webHidden/>
          </w:rPr>
          <w:fldChar w:fldCharType="begin"/>
        </w:r>
        <w:r w:rsidR="00B93F99">
          <w:rPr>
            <w:noProof/>
            <w:webHidden/>
          </w:rPr>
          <w:instrText xml:space="preserve"> PAGEREF _Toc85714084 \h </w:instrText>
        </w:r>
        <w:r w:rsidR="00B93F99">
          <w:rPr>
            <w:noProof/>
            <w:webHidden/>
          </w:rPr>
        </w:r>
        <w:r w:rsidR="00B93F99">
          <w:rPr>
            <w:noProof/>
            <w:webHidden/>
          </w:rPr>
          <w:fldChar w:fldCharType="separate"/>
        </w:r>
        <w:r>
          <w:rPr>
            <w:noProof/>
            <w:webHidden/>
          </w:rPr>
          <w:t>14</w:t>
        </w:r>
        <w:r w:rsidR="00B93F99">
          <w:rPr>
            <w:noProof/>
            <w:webHidden/>
          </w:rPr>
          <w:fldChar w:fldCharType="end"/>
        </w:r>
      </w:hyperlink>
    </w:p>
    <w:p w14:paraId="2471D560" w14:textId="539E3826" w:rsidR="00B93F99" w:rsidRDefault="008A3572">
      <w:pPr>
        <w:pStyle w:val="TOC1"/>
        <w:rPr>
          <w:rFonts w:asciiTheme="minorHAnsi" w:eastAsiaTheme="minorEastAsia" w:hAnsiTheme="minorHAnsi" w:cstheme="minorBidi"/>
          <w:noProof/>
          <w:sz w:val="22"/>
          <w:szCs w:val="22"/>
        </w:rPr>
      </w:pPr>
      <w:hyperlink w:anchor="_Toc85714085" w:history="1">
        <w:r w:rsidR="00B93F99" w:rsidRPr="00113473">
          <w:rPr>
            <w:rStyle w:val="Hyperlink"/>
            <w:noProof/>
          </w:rPr>
          <w:t>V.</w:t>
        </w:r>
        <w:r w:rsidR="00B93F99">
          <w:rPr>
            <w:rFonts w:asciiTheme="minorHAnsi" w:eastAsiaTheme="minorEastAsia" w:hAnsiTheme="minorHAnsi" w:cstheme="minorBidi"/>
            <w:noProof/>
            <w:sz w:val="22"/>
            <w:szCs w:val="22"/>
          </w:rPr>
          <w:tab/>
        </w:r>
        <w:r w:rsidR="00B93F99" w:rsidRPr="00113473">
          <w:rPr>
            <w:rStyle w:val="Hyperlink"/>
            <w:noProof/>
          </w:rPr>
          <w:t>CLASS COST ALLOCATION</w:t>
        </w:r>
        <w:r w:rsidR="00B93F99">
          <w:rPr>
            <w:noProof/>
            <w:webHidden/>
          </w:rPr>
          <w:tab/>
        </w:r>
        <w:r w:rsidR="00B93F99">
          <w:rPr>
            <w:noProof/>
            <w:webHidden/>
          </w:rPr>
          <w:fldChar w:fldCharType="begin"/>
        </w:r>
        <w:r w:rsidR="00B93F99">
          <w:rPr>
            <w:noProof/>
            <w:webHidden/>
          </w:rPr>
          <w:instrText xml:space="preserve"> PAGEREF _Toc85714085 \h </w:instrText>
        </w:r>
        <w:r w:rsidR="00B93F99">
          <w:rPr>
            <w:noProof/>
            <w:webHidden/>
          </w:rPr>
        </w:r>
        <w:r w:rsidR="00B93F99">
          <w:rPr>
            <w:noProof/>
            <w:webHidden/>
          </w:rPr>
          <w:fldChar w:fldCharType="separate"/>
        </w:r>
        <w:r>
          <w:rPr>
            <w:noProof/>
            <w:webHidden/>
          </w:rPr>
          <w:t>16</w:t>
        </w:r>
        <w:r w:rsidR="00B93F99">
          <w:rPr>
            <w:noProof/>
            <w:webHidden/>
          </w:rPr>
          <w:fldChar w:fldCharType="end"/>
        </w:r>
      </w:hyperlink>
    </w:p>
    <w:p w14:paraId="3E139A45" w14:textId="70C27ADA" w:rsidR="00B93F99" w:rsidRDefault="008A3572">
      <w:pPr>
        <w:pStyle w:val="TOC3"/>
        <w:tabs>
          <w:tab w:val="right" w:pos="9350"/>
        </w:tabs>
        <w:rPr>
          <w:rFonts w:asciiTheme="minorHAnsi" w:eastAsiaTheme="minorEastAsia" w:hAnsiTheme="minorHAnsi" w:cstheme="minorBidi"/>
          <w:noProof/>
          <w:sz w:val="22"/>
          <w:szCs w:val="22"/>
        </w:rPr>
      </w:pPr>
      <w:hyperlink w:anchor="_Toc85714086" w:history="1">
        <w:r w:rsidR="00B93F99" w:rsidRPr="00113473">
          <w:rPr>
            <w:rStyle w:val="Hyperlink"/>
            <w:noProof/>
          </w:rPr>
          <w:t>Load Factor</w:t>
        </w:r>
        <w:r w:rsidR="00B93F99">
          <w:rPr>
            <w:noProof/>
            <w:webHidden/>
          </w:rPr>
          <w:tab/>
        </w:r>
        <w:r w:rsidR="00B93F99">
          <w:rPr>
            <w:noProof/>
            <w:webHidden/>
          </w:rPr>
          <w:fldChar w:fldCharType="begin"/>
        </w:r>
        <w:r w:rsidR="00B93F99">
          <w:rPr>
            <w:noProof/>
            <w:webHidden/>
          </w:rPr>
          <w:instrText xml:space="preserve"> PAGEREF _Toc85714086 \h </w:instrText>
        </w:r>
        <w:r w:rsidR="00B93F99">
          <w:rPr>
            <w:noProof/>
            <w:webHidden/>
          </w:rPr>
        </w:r>
        <w:r w:rsidR="00B93F99">
          <w:rPr>
            <w:noProof/>
            <w:webHidden/>
          </w:rPr>
          <w:fldChar w:fldCharType="separate"/>
        </w:r>
        <w:r>
          <w:rPr>
            <w:noProof/>
            <w:webHidden/>
          </w:rPr>
          <w:t>19</w:t>
        </w:r>
        <w:r w:rsidR="00B93F99">
          <w:rPr>
            <w:noProof/>
            <w:webHidden/>
          </w:rPr>
          <w:fldChar w:fldCharType="end"/>
        </w:r>
      </w:hyperlink>
    </w:p>
    <w:p w14:paraId="11120D1B" w14:textId="623E21CE" w:rsidR="00B93F99" w:rsidRDefault="008A3572">
      <w:pPr>
        <w:pStyle w:val="TOC3"/>
        <w:tabs>
          <w:tab w:val="right" w:pos="9350"/>
        </w:tabs>
        <w:rPr>
          <w:rFonts w:asciiTheme="minorHAnsi" w:eastAsiaTheme="minorEastAsia" w:hAnsiTheme="minorHAnsi" w:cstheme="minorBidi"/>
          <w:noProof/>
          <w:sz w:val="22"/>
          <w:szCs w:val="22"/>
        </w:rPr>
      </w:pPr>
      <w:hyperlink w:anchor="_Toc85714087" w:history="1">
        <w:r w:rsidR="00B93F99" w:rsidRPr="00113473">
          <w:rPr>
            <w:rStyle w:val="Hyperlink"/>
            <w:noProof/>
          </w:rPr>
          <w:t>Peaking Generation Unit Allocation</w:t>
        </w:r>
        <w:r w:rsidR="00B93F99">
          <w:rPr>
            <w:noProof/>
            <w:webHidden/>
          </w:rPr>
          <w:tab/>
        </w:r>
        <w:r w:rsidR="00B93F99">
          <w:rPr>
            <w:noProof/>
            <w:webHidden/>
          </w:rPr>
          <w:fldChar w:fldCharType="begin"/>
        </w:r>
        <w:r w:rsidR="00B93F99">
          <w:rPr>
            <w:noProof/>
            <w:webHidden/>
          </w:rPr>
          <w:instrText xml:space="preserve"> PAGEREF _Toc85714087 \h </w:instrText>
        </w:r>
        <w:r w:rsidR="00B93F99">
          <w:rPr>
            <w:noProof/>
            <w:webHidden/>
          </w:rPr>
        </w:r>
        <w:r w:rsidR="00B93F99">
          <w:rPr>
            <w:noProof/>
            <w:webHidden/>
          </w:rPr>
          <w:fldChar w:fldCharType="separate"/>
        </w:r>
        <w:r>
          <w:rPr>
            <w:noProof/>
            <w:webHidden/>
          </w:rPr>
          <w:t>22</w:t>
        </w:r>
        <w:r w:rsidR="00B93F99">
          <w:rPr>
            <w:noProof/>
            <w:webHidden/>
          </w:rPr>
          <w:fldChar w:fldCharType="end"/>
        </w:r>
      </w:hyperlink>
    </w:p>
    <w:p w14:paraId="7C8D7595" w14:textId="18077951" w:rsidR="00B93F99" w:rsidRDefault="008A3572">
      <w:pPr>
        <w:pStyle w:val="TOC3"/>
        <w:tabs>
          <w:tab w:val="right" w:pos="9350"/>
        </w:tabs>
        <w:rPr>
          <w:rFonts w:asciiTheme="minorHAnsi" w:eastAsiaTheme="minorEastAsia" w:hAnsiTheme="minorHAnsi" w:cstheme="minorBidi"/>
          <w:noProof/>
          <w:sz w:val="22"/>
          <w:szCs w:val="22"/>
        </w:rPr>
      </w:pPr>
      <w:hyperlink w:anchor="_Toc85714088" w:history="1">
        <w:r w:rsidR="00B93F99" w:rsidRPr="00113473">
          <w:rPr>
            <w:rStyle w:val="Hyperlink"/>
            <w:noProof/>
          </w:rPr>
          <w:t>Palo Verde O&amp;M Expense Allocation</w:t>
        </w:r>
        <w:r w:rsidR="00B93F99">
          <w:rPr>
            <w:noProof/>
            <w:webHidden/>
          </w:rPr>
          <w:tab/>
        </w:r>
        <w:r w:rsidR="00B93F99">
          <w:rPr>
            <w:noProof/>
            <w:webHidden/>
          </w:rPr>
          <w:fldChar w:fldCharType="begin"/>
        </w:r>
        <w:r w:rsidR="00B93F99">
          <w:rPr>
            <w:noProof/>
            <w:webHidden/>
          </w:rPr>
          <w:instrText xml:space="preserve"> PAGEREF _Toc85714088 \h </w:instrText>
        </w:r>
        <w:r w:rsidR="00B93F99">
          <w:rPr>
            <w:noProof/>
            <w:webHidden/>
          </w:rPr>
        </w:r>
        <w:r w:rsidR="00B93F99">
          <w:rPr>
            <w:noProof/>
            <w:webHidden/>
          </w:rPr>
          <w:fldChar w:fldCharType="separate"/>
        </w:r>
        <w:r>
          <w:rPr>
            <w:noProof/>
            <w:webHidden/>
          </w:rPr>
          <w:t>23</w:t>
        </w:r>
        <w:r w:rsidR="00B93F99">
          <w:rPr>
            <w:noProof/>
            <w:webHidden/>
          </w:rPr>
          <w:fldChar w:fldCharType="end"/>
        </w:r>
      </w:hyperlink>
    </w:p>
    <w:p w14:paraId="59E4DED9" w14:textId="4B34F9B6" w:rsidR="00B93F99" w:rsidRDefault="008A3572">
      <w:pPr>
        <w:pStyle w:val="TOC3"/>
        <w:tabs>
          <w:tab w:val="right" w:pos="9350"/>
        </w:tabs>
        <w:rPr>
          <w:rFonts w:asciiTheme="minorHAnsi" w:eastAsiaTheme="minorEastAsia" w:hAnsiTheme="minorHAnsi" w:cstheme="minorBidi"/>
          <w:noProof/>
          <w:sz w:val="22"/>
          <w:szCs w:val="22"/>
        </w:rPr>
      </w:pPr>
      <w:hyperlink w:anchor="_Toc85714089" w:history="1">
        <w:r w:rsidR="00B93F99" w:rsidRPr="00113473">
          <w:rPr>
            <w:rStyle w:val="Hyperlink"/>
            <w:noProof/>
          </w:rPr>
          <w:t>Generation System Control &amp; Load Dispatching Allocation</w:t>
        </w:r>
        <w:r w:rsidR="00B93F99">
          <w:rPr>
            <w:noProof/>
            <w:webHidden/>
          </w:rPr>
          <w:tab/>
        </w:r>
        <w:r w:rsidR="00B93F99">
          <w:rPr>
            <w:noProof/>
            <w:webHidden/>
          </w:rPr>
          <w:fldChar w:fldCharType="begin"/>
        </w:r>
        <w:r w:rsidR="00B93F99">
          <w:rPr>
            <w:noProof/>
            <w:webHidden/>
          </w:rPr>
          <w:instrText xml:space="preserve"> PAGEREF _Toc85714089 \h </w:instrText>
        </w:r>
        <w:r w:rsidR="00B93F99">
          <w:rPr>
            <w:noProof/>
            <w:webHidden/>
          </w:rPr>
        </w:r>
        <w:r w:rsidR="00B93F99">
          <w:rPr>
            <w:noProof/>
            <w:webHidden/>
          </w:rPr>
          <w:fldChar w:fldCharType="separate"/>
        </w:r>
        <w:r>
          <w:rPr>
            <w:noProof/>
            <w:webHidden/>
          </w:rPr>
          <w:t>24</w:t>
        </w:r>
        <w:r w:rsidR="00B93F99">
          <w:rPr>
            <w:noProof/>
            <w:webHidden/>
          </w:rPr>
          <w:fldChar w:fldCharType="end"/>
        </w:r>
      </w:hyperlink>
    </w:p>
    <w:p w14:paraId="3C45FF47" w14:textId="5E18BDAC" w:rsidR="00B93F99" w:rsidRDefault="008A3572">
      <w:pPr>
        <w:pStyle w:val="TOC3"/>
        <w:tabs>
          <w:tab w:val="right" w:pos="9350"/>
        </w:tabs>
        <w:rPr>
          <w:rFonts w:asciiTheme="minorHAnsi" w:eastAsiaTheme="minorEastAsia" w:hAnsiTheme="minorHAnsi" w:cstheme="minorBidi"/>
          <w:noProof/>
          <w:sz w:val="22"/>
          <w:szCs w:val="22"/>
        </w:rPr>
      </w:pPr>
      <w:hyperlink w:anchor="_Toc85714090" w:history="1">
        <w:r w:rsidR="00B93F99" w:rsidRPr="00113473">
          <w:rPr>
            <w:rStyle w:val="Hyperlink"/>
            <w:noProof/>
          </w:rPr>
          <w:t>Transmission Load Dispatching Expense Allocation</w:t>
        </w:r>
        <w:r w:rsidR="00B93F99">
          <w:rPr>
            <w:noProof/>
            <w:webHidden/>
          </w:rPr>
          <w:tab/>
        </w:r>
        <w:r w:rsidR="00B93F99">
          <w:rPr>
            <w:noProof/>
            <w:webHidden/>
          </w:rPr>
          <w:fldChar w:fldCharType="begin"/>
        </w:r>
        <w:r w:rsidR="00B93F99">
          <w:rPr>
            <w:noProof/>
            <w:webHidden/>
          </w:rPr>
          <w:instrText xml:space="preserve"> PAGEREF _Toc85714090 \h </w:instrText>
        </w:r>
        <w:r w:rsidR="00B93F99">
          <w:rPr>
            <w:noProof/>
            <w:webHidden/>
          </w:rPr>
        </w:r>
        <w:r w:rsidR="00B93F99">
          <w:rPr>
            <w:noProof/>
            <w:webHidden/>
          </w:rPr>
          <w:fldChar w:fldCharType="separate"/>
        </w:r>
        <w:r>
          <w:rPr>
            <w:noProof/>
            <w:webHidden/>
          </w:rPr>
          <w:t>24</w:t>
        </w:r>
        <w:r w:rsidR="00B93F99">
          <w:rPr>
            <w:noProof/>
            <w:webHidden/>
          </w:rPr>
          <w:fldChar w:fldCharType="end"/>
        </w:r>
      </w:hyperlink>
    </w:p>
    <w:p w14:paraId="645F1577" w14:textId="5EDEE3E8" w:rsidR="00B93F99" w:rsidRDefault="008A3572">
      <w:pPr>
        <w:pStyle w:val="TOC3"/>
        <w:tabs>
          <w:tab w:val="right" w:pos="9350"/>
        </w:tabs>
        <w:rPr>
          <w:rFonts w:asciiTheme="minorHAnsi" w:eastAsiaTheme="minorEastAsia" w:hAnsiTheme="minorHAnsi" w:cstheme="minorBidi"/>
          <w:noProof/>
          <w:sz w:val="22"/>
          <w:szCs w:val="22"/>
        </w:rPr>
      </w:pPr>
      <w:hyperlink w:anchor="_Toc85714091" w:history="1">
        <w:r w:rsidR="00B93F99" w:rsidRPr="00113473">
          <w:rPr>
            <w:rStyle w:val="Hyperlink"/>
            <w:noProof/>
          </w:rPr>
          <w:t>69 kV Transmission System Allocation</w:t>
        </w:r>
        <w:r w:rsidR="00B93F99">
          <w:rPr>
            <w:noProof/>
            <w:webHidden/>
          </w:rPr>
          <w:tab/>
        </w:r>
        <w:r w:rsidR="00B93F99">
          <w:rPr>
            <w:noProof/>
            <w:webHidden/>
          </w:rPr>
          <w:fldChar w:fldCharType="begin"/>
        </w:r>
        <w:r w:rsidR="00B93F99">
          <w:rPr>
            <w:noProof/>
            <w:webHidden/>
          </w:rPr>
          <w:instrText xml:space="preserve"> PAGEREF _Toc85714091 \h </w:instrText>
        </w:r>
        <w:r w:rsidR="00B93F99">
          <w:rPr>
            <w:noProof/>
            <w:webHidden/>
          </w:rPr>
        </w:r>
        <w:r w:rsidR="00B93F99">
          <w:rPr>
            <w:noProof/>
            <w:webHidden/>
          </w:rPr>
          <w:fldChar w:fldCharType="separate"/>
        </w:r>
        <w:r>
          <w:rPr>
            <w:noProof/>
            <w:webHidden/>
          </w:rPr>
          <w:t>25</w:t>
        </w:r>
        <w:r w:rsidR="00B93F99">
          <w:rPr>
            <w:noProof/>
            <w:webHidden/>
          </w:rPr>
          <w:fldChar w:fldCharType="end"/>
        </w:r>
      </w:hyperlink>
    </w:p>
    <w:p w14:paraId="2EC76BCB" w14:textId="745218F7" w:rsidR="00B93F99" w:rsidRDefault="008A3572">
      <w:pPr>
        <w:pStyle w:val="TOC3"/>
        <w:tabs>
          <w:tab w:val="right" w:pos="9350"/>
        </w:tabs>
        <w:rPr>
          <w:rFonts w:asciiTheme="minorHAnsi" w:eastAsiaTheme="minorEastAsia" w:hAnsiTheme="minorHAnsi" w:cstheme="minorBidi"/>
          <w:noProof/>
          <w:sz w:val="22"/>
          <w:szCs w:val="22"/>
        </w:rPr>
      </w:pPr>
      <w:hyperlink w:anchor="_Toc85714092" w:history="1">
        <w:r w:rsidR="00B93F99" w:rsidRPr="00113473">
          <w:rPr>
            <w:rStyle w:val="Hyperlink"/>
            <w:noProof/>
          </w:rPr>
          <w:t>Contributions and Donations Expense Allocation</w:t>
        </w:r>
        <w:r w:rsidR="00B93F99">
          <w:rPr>
            <w:noProof/>
            <w:webHidden/>
          </w:rPr>
          <w:tab/>
        </w:r>
        <w:r w:rsidR="00B93F99">
          <w:rPr>
            <w:noProof/>
            <w:webHidden/>
          </w:rPr>
          <w:fldChar w:fldCharType="begin"/>
        </w:r>
        <w:r w:rsidR="00B93F99">
          <w:rPr>
            <w:noProof/>
            <w:webHidden/>
          </w:rPr>
          <w:instrText xml:space="preserve"> PAGEREF _Toc85714092 \h </w:instrText>
        </w:r>
        <w:r w:rsidR="00B93F99">
          <w:rPr>
            <w:noProof/>
            <w:webHidden/>
          </w:rPr>
        </w:r>
        <w:r w:rsidR="00B93F99">
          <w:rPr>
            <w:noProof/>
            <w:webHidden/>
          </w:rPr>
          <w:fldChar w:fldCharType="separate"/>
        </w:r>
        <w:r>
          <w:rPr>
            <w:noProof/>
            <w:webHidden/>
          </w:rPr>
          <w:t>27</w:t>
        </w:r>
        <w:r w:rsidR="00B93F99">
          <w:rPr>
            <w:noProof/>
            <w:webHidden/>
          </w:rPr>
          <w:fldChar w:fldCharType="end"/>
        </w:r>
      </w:hyperlink>
    </w:p>
    <w:p w14:paraId="337F245D" w14:textId="401A5BA9" w:rsidR="00B93F99" w:rsidRDefault="008A3572">
      <w:pPr>
        <w:pStyle w:val="TOC3"/>
        <w:tabs>
          <w:tab w:val="right" w:pos="9350"/>
        </w:tabs>
        <w:rPr>
          <w:rFonts w:asciiTheme="minorHAnsi" w:eastAsiaTheme="minorEastAsia" w:hAnsiTheme="minorHAnsi" w:cstheme="minorBidi"/>
          <w:noProof/>
          <w:sz w:val="22"/>
          <w:szCs w:val="22"/>
        </w:rPr>
      </w:pPr>
      <w:hyperlink w:anchor="_Toc85714093" w:history="1">
        <w:r w:rsidR="00B93F99" w:rsidRPr="00113473">
          <w:rPr>
            <w:rStyle w:val="Hyperlink"/>
            <w:noProof/>
          </w:rPr>
          <w:t>Summary of Recommended Allocation Impacts</w:t>
        </w:r>
        <w:r w:rsidR="00B93F99">
          <w:rPr>
            <w:noProof/>
            <w:webHidden/>
          </w:rPr>
          <w:tab/>
        </w:r>
        <w:r w:rsidR="00B93F99">
          <w:rPr>
            <w:noProof/>
            <w:webHidden/>
          </w:rPr>
          <w:fldChar w:fldCharType="begin"/>
        </w:r>
        <w:r w:rsidR="00B93F99">
          <w:rPr>
            <w:noProof/>
            <w:webHidden/>
          </w:rPr>
          <w:instrText xml:space="preserve"> PAGEREF _Toc85714093 \h </w:instrText>
        </w:r>
        <w:r w:rsidR="00B93F99">
          <w:rPr>
            <w:noProof/>
            <w:webHidden/>
          </w:rPr>
        </w:r>
        <w:r w:rsidR="00B93F99">
          <w:rPr>
            <w:noProof/>
            <w:webHidden/>
          </w:rPr>
          <w:fldChar w:fldCharType="separate"/>
        </w:r>
        <w:r>
          <w:rPr>
            <w:noProof/>
            <w:webHidden/>
          </w:rPr>
          <w:t>28</w:t>
        </w:r>
        <w:r w:rsidR="00B93F99">
          <w:rPr>
            <w:noProof/>
            <w:webHidden/>
          </w:rPr>
          <w:fldChar w:fldCharType="end"/>
        </w:r>
      </w:hyperlink>
    </w:p>
    <w:p w14:paraId="2FA2C08E" w14:textId="4EEA9958" w:rsidR="00B93F99" w:rsidRDefault="008A3572">
      <w:pPr>
        <w:pStyle w:val="TOC1"/>
        <w:rPr>
          <w:rFonts w:asciiTheme="minorHAnsi" w:eastAsiaTheme="minorEastAsia" w:hAnsiTheme="minorHAnsi" w:cstheme="minorBidi"/>
          <w:noProof/>
          <w:sz w:val="22"/>
          <w:szCs w:val="22"/>
        </w:rPr>
      </w:pPr>
      <w:hyperlink w:anchor="_Toc85714094" w:history="1">
        <w:r w:rsidR="00B93F99" w:rsidRPr="00113473">
          <w:rPr>
            <w:rStyle w:val="Hyperlink"/>
            <w:noProof/>
          </w:rPr>
          <w:t>VI.</w:t>
        </w:r>
        <w:r w:rsidR="00B93F99">
          <w:rPr>
            <w:rFonts w:asciiTheme="minorHAnsi" w:eastAsiaTheme="minorEastAsia" w:hAnsiTheme="minorHAnsi" w:cstheme="minorBidi"/>
            <w:noProof/>
            <w:sz w:val="22"/>
            <w:szCs w:val="22"/>
          </w:rPr>
          <w:tab/>
        </w:r>
        <w:r w:rsidR="00B93F99" w:rsidRPr="00113473">
          <w:rPr>
            <w:rStyle w:val="Hyperlink"/>
            <w:noProof/>
          </w:rPr>
          <w:t>REVENUE ALLOCATION</w:t>
        </w:r>
        <w:r w:rsidR="00B93F99">
          <w:rPr>
            <w:noProof/>
            <w:webHidden/>
          </w:rPr>
          <w:tab/>
        </w:r>
        <w:r w:rsidR="00B93F99">
          <w:rPr>
            <w:noProof/>
            <w:webHidden/>
          </w:rPr>
          <w:fldChar w:fldCharType="begin"/>
        </w:r>
        <w:r w:rsidR="00B93F99">
          <w:rPr>
            <w:noProof/>
            <w:webHidden/>
          </w:rPr>
          <w:instrText xml:space="preserve"> PAGEREF _Toc85714094 \h </w:instrText>
        </w:r>
        <w:r w:rsidR="00B93F99">
          <w:rPr>
            <w:noProof/>
            <w:webHidden/>
          </w:rPr>
        </w:r>
        <w:r w:rsidR="00B93F99">
          <w:rPr>
            <w:noProof/>
            <w:webHidden/>
          </w:rPr>
          <w:fldChar w:fldCharType="separate"/>
        </w:r>
        <w:r>
          <w:rPr>
            <w:noProof/>
            <w:webHidden/>
          </w:rPr>
          <w:t>28</w:t>
        </w:r>
        <w:r w:rsidR="00B93F99">
          <w:rPr>
            <w:noProof/>
            <w:webHidden/>
          </w:rPr>
          <w:fldChar w:fldCharType="end"/>
        </w:r>
      </w:hyperlink>
    </w:p>
    <w:p w14:paraId="11C1C6FA" w14:textId="1FFBE9EF" w:rsidR="00B93F99" w:rsidRDefault="008A3572">
      <w:pPr>
        <w:pStyle w:val="TOC1"/>
        <w:rPr>
          <w:rFonts w:asciiTheme="minorHAnsi" w:eastAsiaTheme="minorEastAsia" w:hAnsiTheme="minorHAnsi" w:cstheme="minorBidi"/>
          <w:noProof/>
          <w:sz w:val="22"/>
          <w:szCs w:val="22"/>
        </w:rPr>
      </w:pPr>
      <w:hyperlink w:anchor="_Toc85714095" w:history="1">
        <w:r w:rsidR="00B93F99" w:rsidRPr="00113473">
          <w:rPr>
            <w:rStyle w:val="Hyperlink"/>
            <w:noProof/>
          </w:rPr>
          <w:t>VII.</w:t>
        </w:r>
        <w:r w:rsidR="00B93F99">
          <w:rPr>
            <w:rFonts w:asciiTheme="minorHAnsi" w:eastAsiaTheme="minorEastAsia" w:hAnsiTheme="minorHAnsi" w:cstheme="minorBidi"/>
            <w:noProof/>
            <w:sz w:val="22"/>
            <w:szCs w:val="22"/>
          </w:rPr>
          <w:tab/>
        </w:r>
        <w:r w:rsidR="00B93F99" w:rsidRPr="00113473">
          <w:rPr>
            <w:rStyle w:val="Hyperlink"/>
            <w:noProof/>
          </w:rPr>
          <w:t>RATE SCHEDULE NO. 25 – LARGE POWER SERVICE TARIFF LANGUAGE</w:t>
        </w:r>
        <w:r w:rsidR="00B93F99">
          <w:rPr>
            <w:noProof/>
            <w:webHidden/>
          </w:rPr>
          <w:tab/>
        </w:r>
        <w:r w:rsidR="00B93F99">
          <w:rPr>
            <w:noProof/>
            <w:webHidden/>
          </w:rPr>
          <w:fldChar w:fldCharType="begin"/>
        </w:r>
        <w:r w:rsidR="00B93F99">
          <w:rPr>
            <w:noProof/>
            <w:webHidden/>
          </w:rPr>
          <w:instrText xml:space="preserve"> PAGEREF _Toc85714095 \h </w:instrText>
        </w:r>
        <w:r w:rsidR="00B93F99">
          <w:rPr>
            <w:noProof/>
            <w:webHidden/>
          </w:rPr>
        </w:r>
        <w:r w:rsidR="00B93F99">
          <w:rPr>
            <w:noProof/>
            <w:webHidden/>
          </w:rPr>
          <w:fldChar w:fldCharType="separate"/>
        </w:r>
        <w:r>
          <w:rPr>
            <w:noProof/>
            <w:webHidden/>
          </w:rPr>
          <w:t>30</w:t>
        </w:r>
        <w:r w:rsidR="00B93F99">
          <w:rPr>
            <w:noProof/>
            <w:webHidden/>
          </w:rPr>
          <w:fldChar w:fldCharType="end"/>
        </w:r>
      </w:hyperlink>
    </w:p>
    <w:p w14:paraId="4BFB7204" w14:textId="51FB31EC" w:rsidR="001006D1" w:rsidRDefault="007148BE" w:rsidP="004C6460">
      <w:pPr>
        <w:suppressLineNumbers/>
      </w:pPr>
      <w:r>
        <w:fldChar w:fldCharType="end"/>
      </w:r>
    </w:p>
    <w:p w14:paraId="0851E6A9" w14:textId="77777777" w:rsidR="001006D1" w:rsidRDefault="001006D1" w:rsidP="004C6460">
      <w:pPr>
        <w:pStyle w:val="BodyTextIndent"/>
        <w:suppressLineNumbers/>
        <w:ind w:left="720" w:hanging="720"/>
        <w:rPr>
          <w:u w:val="single"/>
        </w:rPr>
      </w:pPr>
    </w:p>
    <w:p w14:paraId="490AA7C1" w14:textId="6482502A" w:rsidR="001006D1" w:rsidRDefault="001F639B" w:rsidP="00DA22E8">
      <w:pPr>
        <w:pStyle w:val="BodyTextIndent"/>
        <w:suppressLineNumbers/>
        <w:ind w:left="720" w:hanging="720"/>
        <w:rPr>
          <w:u w:val="single"/>
        </w:rPr>
      </w:pPr>
      <w:r>
        <w:rPr>
          <w:u w:val="single"/>
        </w:rPr>
        <w:t xml:space="preserve">EXHIBITS </w:t>
      </w:r>
    </w:p>
    <w:p w14:paraId="79BD4F68" w14:textId="167AEBC4" w:rsidR="001006D1" w:rsidRDefault="001F639B" w:rsidP="00DA22E8">
      <w:pPr>
        <w:pStyle w:val="BodyTextIndent"/>
        <w:suppressLineNumbers/>
        <w:spacing w:after="0"/>
        <w:ind w:left="720" w:hanging="720"/>
      </w:pPr>
      <w:r>
        <w:t>KCH-</w:t>
      </w:r>
      <w:r w:rsidR="00DE60C5">
        <w:t>1</w:t>
      </w:r>
      <w:r>
        <w:t xml:space="preserve"> </w:t>
      </w:r>
      <w:r w:rsidR="004C6460">
        <w:t xml:space="preserve"> </w:t>
      </w:r>
      <w:r>
        <w:t>– TIEC Supplemental Executive Retirement Plan (SERP) Expense Adjustment</w:t>
      </w:r>
    </w:p>
    <w:p w14:paraId="6E9C4F0D" w14:textId="04B38085" w:rsidR="001006D1" w:rsidRDefault="001F639B" w:rsidP="00DA22E8">
      <w:pPr>
        <w:pStyle w:val="BodyTextIndent"/>
        <w:suppressLineNumbers/>
        <w:spacing w:after="0"/>
        <w:ind w:left="720" w:hanging="720"/>
      </w:pPr>
      <w:r>
        <w:t>KCH-</w:t>
      </w:r>
      <w:r w:rsidR="00DE60C5">
        <w:t>2</w:t>
      </w:r>
      <w:r w:rsidR="004C6460">
        <w:t xml:space="preserve"> </w:t>
      </w:r>
      <w:r>
        <w:t xml:space="preserve"> – TIEC Excess Benefit Plan Expense Adjustment</w:t>
      </w:r>
      <w:r>
        <w:tab/>
      </w:r>
    </w:p>
    <w:p w14:paraId="54B767F3" w14:textId="75561846" w:rsidR="001006D1" w:rsidRDefault="001F639B" w:rsidP="00DA22E8">
      <w:pPr>
        <w:pStyle w:val="BodyTextIndent"/>
        <w:suppressLineNumbers/>
        <w:spacing w:after="0"/>
        <w:ind w:left="720" w:hanging="720"/>
      </w:pPr>
      <w:r>
        <w:t>KCH-</w:t>
      </w:r>
      <w:r w:rsidR="00DE60C5">
        <w:t>3</w:t>
      </w:r>
      <w:r w:rsidR="004C6460">
        <w:t xml:space="preserve">  </w:t>
      </w:r>
      <w:r>
        <w:t>– TIEC Palo Verde Incentive Compensation Expense Adjustment</w:t>
      </w:r>
    </w:p>
    <w:p w14:paraId="1B1BC8E5" w14:textId="02EE2AD9" w:rsidR="001006D1" w:rsidRDefault="001F639B" w:rsidP="00DA22E8">
      <w:pPr>
        <w:pStyle w:val="BodyTextIndent"/>
        <w:suppressLineNumbers/>
        <w:spacing w:after="0"/>
        <w:ind w:left="720" w:hanging="720"/>
      </w:pPr>
      <w:r>
        <w:t>KCH-</w:t>
      </w:r>
      <w:r w:rsidR="00DE60C5">
        <w:t>4</w:t>
      </w:r>
      <w:r w:rsidR="004C6460">
        <w:t xml:space="preserve">  </w:t>
      </w:r>
      <w:r>
        <w:t>– TIEC Revolving Credit Facilities Commitment Fees Expense Adjustment</w:t>
      </w:r>
    </w:p>
    <w:p w14:paraId="13F6B716" w14:textId="05EE6C3A" w:rsidR="001006D1" w:rsidRDefault="001F639B" w:rsidP="00DA22E8">
      <w:pPr>
        <w:pStyle w:val="BodyTextIndent"/>
        <w:suppressLineNumbers/>
        <w:spacing w:after="0"/>
        <w:ind w:left="720" w:hanging="720"/>
      </w:pPr>
      <w:r>
        <w:t>KCH-</w:t>
      </w:r>
      <w:r w:rsidR="00DE60C5">
        <w:t>5</w:t>
      </w:r>
      <w:r w:rsidR="004C6460">
        <w:t xml:space="preserve">  </w:t>
      </w:r>
      <w:r>
        <w:t>– TIEC Accumulated Depreciation and Amortization Rate Base Adjustment</w:t>
      </w:r>
    </w:p>
    <w:p w14:paraId="5166DEE6" w14:textId="7F670A93" w:rsidR="00016D45" w:rsidRDefault="00016D45" w:rsidP="00016D45">
      <w:pPr>
        <w:pStyle w:val="BodyTextIndent"/>
        <w:suppressLineNumbers/>
        <w:spacing w:after="0"/>
        <w:ind w:left="720" w:hanging="720"/>
      </w:pPr>
      <w:r>
        <w:t xml:space="preserve">KCH-6  – TIEC Illustrative Jurisdictional Allocators with Solar Plant Adjustment </w:t>
      </w:r>
    </w:p>
    <w:p w14:paraId="7ADA7BD0" w14:textId="74DF0711" w:rsidR="001006D1" w:rsidRDefault="001F639B" w:rsidP="00DA22E8">
      <w:pPr>
        <w:pStyle w:val="BodyTextIndent"/>
        <w:suppressLineNumbers/>
        <w:spacing w:after="0"/>
        <w:ind w:left="720" w:hanging="720"/>
      </w:pPr>
      <w:r>
        <w:t>KCH-</w:t>
      </w:r>
      <w:r w:rsidR="00016D45">
        <w:t>7</w:t>
      </w:r>
      <w:r w:rsidR="004C6460">
        <w:t xml:space="preserve">  </w:t>
      </w:r>
      <w:r>
        <w:t xml:space="preserve">– TIEC Calculation of Load Factor </w:t>
      </w:r>
    </w:p>
    <w:p w14:paraId="2ACCDCF0" w14:textId="2B1EFDC1" w:rsidR="001006D1" w:rsidRDefault="001F639B" w:rsidP="00DA22E8">
      <w:pPr>
        <w:pStyle w:val="BodyTextIndent"/>
        <w:suppressLineNumbers/>
        <w:spacing w:after="0"/>
        <w:ind w:left="720" w:hanging="720"/>
      </w:pPr>
      <w:r>
        <w:t>KCH-</w:t>
      </w:r>
      <w:r w:rsidR="00016D45">
        <w:t>8</w:t>
      </w:r>
      <w:r w:rsidR="004C6460">
        <w:t xml:space="preserve">  </w:t>
      </w:r>
      <w:r>
        <w:t xml:space="preserve">– TIEC Calculation of Class </w:t>
      </w:r>
      <w:proofErr w:type="spellStart"/>
      <w:r>
        <w:t>A&amp;E</w:t>
      </w:r>
      <w:proofErr w:type="spellEnd"/>
      <w:r>
        <w:t>/4CP Allocator</w:t>
      </w:r>
    </w:p>
    <w:p w14:paraId="1044BF21" w14:textId="4AEC2E65" w:rsidR="001006D1" w:rsidRDefault="001F639B" w:rsidP="00DA22E8">
      <w:pPr>
        <w:pStyle w:val="BodyTextIndent"/>
        <w:suppressLineNumbers/>
        <w:spacing w:after="0"/>
        <w:ind w:left="720" w:hanging="720"/>
      </w:pPr>
      <w:r>
        <w:t>KCH-</w:t>
      </w:r>
      <w:r w:rsidR="00DE60C5">
        <w:t>9</w:t>
      </w:r>
      <w:r w:rsidR="004C6460">
        <w:t xml:space="preserve"> </w:t>
      </w:r>
      <w:r w:rsidR="00016D45">
        <w:t xml:space="preserve"> </w:t>
      </w:r>
      <w:r>
        <w:t xml:space="preserve">– </w:t>
      </w:r>
      <w:r w:rsidR="001738F0" w:rsidRPr="001738F0">
        <w:t>TIEC Derivation of Estimated Impact of 69 kV Cost Reallocation</w:t>
      </w:r>
    </w:p>
    <w:p w14:paraId="38650398" w14:textId="33A1D7CE" w:rsidR="001006D1" w:rsidRDefault="001F639B" w:rsidP="00DA22E8">
      <w:pPr>
        <w:pStyle w:val="BodyTextIndent"/>
        <w:suppressLineNumbers/>
        <w:spacing w:after="0"/>
        <w:ind w:left="720" w:hanging="720"/>
      </w:pPr>
      <w:r>
        <w:t>KCH-1</w:t>
      </w:r>
      <w:r w:rsidR="00DE60C5">
        <w:t>0</w:t>
      </w:r>
      <w:r w:rsidR="00D86A7B">
        <w:t xml:space="preserve"> </w:t>
      </w:r>
      <w:r w:rsidR="004C6460">
        <w:t xml:space="preserve"> </w:t>
      </w:r>
      <w:r>
        <w:t xml:space="preserve">– Summary of </w:t>
      </w:r>
      <w:r w:rsidR="001738F0">
        <w:t>TIEC Class Cost and Revenue Allocation</w:t>
      </w:r>
    </w:p>
    <w:p w14:paraId="167800BF" w14:textId="7EC96C95" w:rsidR="001006D1" w:rsidRDefault="001006D1" w:rsidP="00DA22E8">
      <w:pPr>
        <w:pStyle w:val="BodyTextIndent"/>
        <w:suppressLineNumbers/>
        <w:spacing w:after="0" w:line="480" w:lineRule="auto"/>
        <w:ind w:left="720" w:hanging="720"/>
      </w:pPr>
    </w:p>
    <w:p w14:paraId="0E1AC6CE" w14:textId="77777777" w:rsidR="00DA22E8" w:rsidRDefault="00DA22E8">
      <w:pPr>
        <w:pStyle w:val="BodyTextIndent"/>
        <w:spacing w:after="0" w:line="480" w:lineRule="auto"/>
        <w:ind w:left="720" w:hanging="720"/>
        <w:sectPr w:rsidR="00DA22E8" w:rsidSect="001006D1">
          <w:headerReference w:type="default" r:id="rId9"/>
          <w:footerReference w:type="default" r:id="rId10"/>
          <w:headerReference w:type="first" r:id="rId11"/>
          <w:footerReference w:type="first" r:id="rId12"/>
          <w:pgSz w:w="12240" w:h="15840" w:code="1"/>
          <w:pgMar w:top="1440" w:right="1440" w:bottom="1440" w:left="1440" w:header="720" w:footer="720" w:gutter="0"/>
          <w:lnNumType w:countBy="1"/>
          <w:pgNumType w:start="1"/>
          <w:cols w:space="720"/>
          <w:docGrid w:linePitch="360"/>
        </w:sectPr>
      </w:pPr>
    </w:p>
    <w:p w14:paraId="635BB02A" w14:textId="77777777" w:rsidR="001006D1" w:rsidRDefault="001F639B" w:rsidP="007F0F85">
      <w:pPr>
        <w:pStyle w:val="Heading1"/>
      </w:pPr>
      <w:bookmarkStart w:id="1" w:name="_Toc85714075"/>
      <w:r>
        <w:lastRenderedPageBreak/>
        <w:t>INTRODUCTION</w:t>
      </w:r>
      <w:bookmarkStart w:id="2" w:name="_Toc63241745"/>
      <w:bookmarkEnd w:id="0"/>
      <w:bookmarkEnd w:id="1"/>
    </w:p>
    <w:p w14:paraId="4F822668" w14:textId="77777777" w:rsidR="001006D1" w:rsidRDefault="001F639B">
      <w:pPr>
        <w:pStyle w:val="TestimonyQ"/>
      </w:pPr>
      <w:r>
        <w:t>PLEASE STATE YOUR NAME AND BUSINESS ADDRESS.</w:t>
      </w:r>
    </w:p>
    <w:p w14:paraId="4F0833E1" w14:textId="186B3C43" w:rsidR="001006D1" w:rsidRDefault="001F639B">
      <w:pPr>
        <w:pStyle w:val="ANSWER"/>
      </w:pPr>
      <w:r>
        <w:t xml:space="preserve">My name is Kevin C. Higgins.  My business address is </w:t>
      </w:r>
      <w:r w:rsidR="00D00AC7">
        <w:t>111 East Broadway, Suite 1200</w:t>
      </w:r>
      <w:r>
        <w:t>, Salt Lake City, Utah, 84111.</w:t>
      </w:r>
    </w:p>
    <w:p w14:paraId="08BB1F40" w14:textId="77777777" w:rsidR="001006D1" w:rsidRDefault="001F639B">
      <w:pPr>
        <w:pStyle w:val="TestimonyQ"/>
      </w:pPr>
      <w:r>
        <w:t xml:space="preserve">BY WHOM ARE YOU EMPLOYED AND IN WHAT CAPACITY? </w:t>
      </w:r>
    </w:p>
    <w:p w14:paraId="0DAA8BEE" w14:textId="77777777" w:rsidR="001006D1" w:rsidRDefault="001F639B">
      <w:pPr>
        <w:pStyle w:val="ANSWER"/>
      </w:pPr>
      <w:r>
        <w:t>I am a Principal in the firm of Energy Strategies, LLC.  Energy Strategies is a private consulting firm specializing in economic and policy analysis applicable to energy production, transportation, and consumption.</w:t>
      </w:r>
    </w:p>
    <w:p w14:paraId="62C6ED58" w14:textId="77777777" w:rsidR="001006D1" w:rsidRDefault="001F639B">
      <w:pPr>
        <w:pStyle w:val="TestimonyQ"/>
      </w:pPr>
      <w:r>
        <w:t xml:space="preserve">ON WHOSE BEHALF ARE YOU TESTIFYING IN THIS PROCEEDING? </w:t>
      </w:r>
    </w:p>
    <w:p w14:paraId="048C388A" w14:textId="77777777" w:rsidR="001006D1" w:rsidRDefault="001F639B">
      <w:pPr>
        <w:pStyle w:val="ANSWER"/>
      </w:pPr>
      <w:r>
        <w:t>My testimony is being sponsored by Texas Industrial Energy Consumers (“TIEC”).</w:t>
      </w:r>
    </w:p>
    <w:p w14:paraId="1261CB5F" w14:textId="77777777" w:rsidR="001006D1" w:rsidRDefault="001F639B">
      <w:pPr>
        <w:pStyle w:val="TestimonyQ"/>
      </w:pPr>
      <w:r>
        <w:t xml:space="preserve">PLEASE DESCRIBE YOUR PROFESSIONAL EXPERIENCE AND QUALIFICATIONS. </w:t>
      </w:r>
    </w:p>
    <w:p w14:paraId="4CC3A8B1" w14:textId="77777777" w:rsidR="001006D1" w:rsidRDefault="001F639B">
      <w:pPr>
        <w:pStyle w:val="ANSWER"/>
      </w:pPr>
      <w:r>
        <w:t>My academic background is in economics, and I have completed all coursework and field examinations toward a Ph.D. in Economics at the University of Utah.  Previously I was awarded a B.S. in Education at the State University of New York at Plattsburgh.  Subsequent to my graduate coursework, I served on the adjunct faculties of both the University of Utah and Westminster College, where I taught undergraduate and graduate courses in economics.  I joined Energy Strategies in 1995, where I assist private and public sector clients in the areas of energy-related economic and policy analysis, including evaluation of electric and gas utility rate matters.</w:t>
      </w:r>
    </w:p>
    <w:p w14:paraId="092B7C73" w14:textId="71EAF404" w:rsidR="001006D1" w:rsidRDefault="001F639B" w:rsidP="00F1383A">
      <w:pPr>
        <w:pStyle w:val="BodyText"/>
      </w:pPr>
      <w:r>
        <w:t xml:space="preserve">Prior to joining Energy Strategies, I held policy positions in state and local government.  From 1983 to 1990, I was </w:t>
      </w:r>
      <w:r w:rsidR="00A05FA2">
        <w:t xml:space="preserve">an </w:t>
      </w:r>
      <w:r>
        <w:t>economist, then assistant director, for the Utah Energy Office, where I helped develop and implement state energy policy.  From 1991 to 1994, I was chief of staff to the chairman of the Salt Lake County Commission, where I was responsible for development and implementation of a broad spectrum of public policy at the local government level.</w:t>
      </w:r>
    </w:p>
    <w:p w14:paraId="41F6BCEB" w14:textId="77777777" w:rsidR="00523FF5" w:rsidRDefault="00523FF5" w:rsidP="00523FF5">
      <w:pPr>
        <w:suppressLineNumbers/>
        <w:rPr>
          <w:rFonts w:eastAsia="Calibri"/>
          <w:b/>
          <w:caps/>
          <w:szCs w:val="20"/>
        </w:rPr>
      </w:pPr>
      <w:r>
        <w:br w:type="page"/>
      </w:r>
    </w:p>
    <w:p w14:paraId="6451FBB3" w14:textId="54BBC162" w:rsidR="001006D1" w:rsidRDefault="001F639B">
      <w:pPr>
        <w:pStyle w:val="TestimonyQ"/>
      </w:pPr>
      <w:r>
        <w:lastRenderedPageBreak/>
        <w:t xml:space="preserve">HAVE YOU TESTIFIED PREVIOUSLY BEFORE ANY STATE UTILITY REGULATORY COMMISSIONS? </w:t>
      </w:r>
    </w:p>
    <w:p w14:paraId="3831FD83" w14:textId="3A3CFAEA" w:rsidR="001006D1" w:rsidRDefault="001F639B">
      <w:pPr>
        <w:pStyle w:val="ANSWER"/>
      </w:pPr>
      <w:r>
        <w:t xml:space="preserve">Yes.  I have filed testimony and/or testified at hearings in </w:t>
      </w:r>
      <w:r w:rsidRPr="002A3A9F">
        <w:t>approximately 2</w:t>
      </w:r>
      <w:r w:rsidR="002A3A9F" w:rsidRPr="002A3A9F">
        <w:t>7</w:t>
      </w:r>
      <w:r w:rsidRPr="002A3A9F">
        <w:t>0 proceedings on the subjects of utility rates and regulatory policy before state utility regulators</w:t>
      </w:r>
      <w:r>
        <w:t xml:space="preserve"> in Alaska, Arizona, Arkansas, Colorado, Georgia, Idaho, Illinois, Indiana, Kansas, Kentucky, Michigan, Minnesota, Missouri, Montana, Nevada, New Mexico, New York, North Carolina, Ohio, Oklahoma, Oregon, Pennsylvania, South Carolina, Texas, Utah, Virginia, Washington, West Virginia, and Wyoming.  I have also filed affidavits in proceedings at the Federal Energy Regulatory Commission.</w:t>
      </w:r>
      <w:bookmarkEnd w:id="2"/>
    </w:p>
    <w:p w14:paraId="0E6ECD17" w14:textId="77777777" w:rsidR="001006D1" w:rsidRPr="007F0F85" w:rsidRDefault="001F639B" w:rsidP="007F0F85">
      <w:pPr>
        <w:pStyle w:val="Heading1"/>
      </w:pPr>
      <w:bookmarkStart w:id="3" w:name="_Toc85714076"/>
      <w:r w:rsidRPr="007F0F85">
        <w:t>OVERVIEW AND CONCLUSIONS</w:t>
      </w:r>
      <w:bookmarkEnd w:id="3"/>
      <w:r w:rsidRPr="007F0F85">
        <w:t xml:space="preserve"> </w:t>
      </w:r>
    </w:p>
    <w:p w14:paraId="4BBEA221" w14:textId="77777777" w:rsidR="001006D1" w:rsidRDefault="001F639B">
      <w:pPr>
        <w:pStyle w:val="TestimonyQ"/>
      </w:pPr>
      <w:r>
        <w:t>WHAT IS THE PURPOSE OF YOUR TESTIMONY IN THIS PROCEEDING?</w:t>
      </w:r>
    </w:p>
    <w:p w14:paraId="6B5E9D5C" w14:textId="1F407B51" w:rsidR="001006D1" w:rsidRDefault="001F639B">
      <w:pPr>
        <w:pStyle w:val="ANSWER"/>
      </w:pPr>
      <w:r>
        <w:t>My testimony addresses both revenue requirement and cost allocation</w:t>
      </w:r>
      <w:r w:rsidR="00295FCD">
        <w:t>/rate design</w:t>
      </w:r>
      <w:r>
        <w:t xml:space="preserve"> issues. I recommend adjusting the revenue requirement proposed by El Paso Electric Company (“</w:t>
      </w:r>
      <w:proofErr w:type="spellStart"/>
      <w:r>
        <w:t>EPE</w:t>
      </w:r>
      <w:proofErr w:type="spellEnd"/>
      <w:r>
        <w:t xml:space="preserve">” or the “Company”) for several specific items.  I did not, however, undertake a full review of </w:t>
      </w:r>
      <w:proofErr w:type="spellStart"/>
      <w:r>
        <w:t>EPE’s</w:t>
      </w:r>
      <w:proofErr w:type="spellEnd"/>
      <w:r>
        <w:t xml:space="preserve"> revenue case.</w:t>
      </w:r>
      <w:r w:rsidR="00295FCD">
        <w:t xml:space="preserve"> I also address a jurisdictional allocation issue concerning </w:t>
      </w:r>
      <w:proofErr w:type="spellStart"/>
      <w:r w:rsidR="00295FCD">
        <w:t>EPE’s</w:t>
      </w:r>
      <w:proofErr w:type="spellEnd"/>
      <w:r w:rsidR="00295FCD">
        <w:t xml:space="preserve"> proposed treatment of directly assigned solar plants.</w:t>
      </w:r>
    </w:p>
    <w:p w14:paraId="27C7B64E" w14:textId="2982B0EA" w:rsidR="001006D1" w:rsidRDefault="001F639B" w:rsidP="00F1383A">
      <w:pPr>
        <w:pStyle w:val="BodyText"/>
      </w:pPr>
      <w:r>
        <w:t xml:space="preserve">My testimony also addresses the distribution of any increase or decrease among rate schedules, or revenue allocation.  </w:t>
      </w:r>
    </w:p>
    <w:p w14:paraId="33A986C2" w14:textId="464ED58F" w:rsidR="001006D1" w:rsidRDefault="001F639B" w:rsidP="00247754">
      <w:pPr>
        <w:pStyle w:val="BodyText"/>
        <w:rPr>
          <w:b/>
        </w:rPr>
      </w:pPr>
      <w:r>
        <w:t xml:space="preserve">The absence of comment on my part regarding a particular issue does not signify support for </w:t>
      </w:r>
      <w:proofErr w:type="spellStart"/>
      <w:r>
        <w:t>EPE’s</w:t>
      </w:r>
      <w:proofErr w:type="spellEnd"/>
      <w:r>
        <w:t xml:space="preserve"> filing with respect to that issue.</w:t>
      </w:r>
    </w:p>
    <w:p w14:paraId="09A391B4" w14:textId="77777777" w:rsidR="001006D1" w:rsidRDefault="001F639B">
      <w:pPr>
        <w:pStyle w:val="TestimonyQ"/>
      </w:pPr>
      <w:r>
        <w:t xml:space="preserve">What revenue increase is </w:t>
      </w:r>
      <w:proofErr w:type="spellStart"/>
      <w:r>
        <w:t>EPE</w:t>
      </w:r>
      <w:proofErr w:type="spellEnd"/>
      <w:r>
        <w:t xml:space="preserve"> recommending for the Texas </w:t>
      </w:r>
      <w:r>
        <w:rPr>
          <w:rFonts w:hint="eastAsia"/>
        </w:rPr>
        <w:t>jurisdiction</w:t>
      </w:r>
      <w:r>
        <w:t>?</w:t>
      </w:r>
    </w:p>
    <w:p w14:paraId="631955F8" w14:textId="214AA8EF" w:rsidR="001006D1" w:rsidRPr="00C2747B" w:rsidRDefault="001F639B" w:rsidP="009F6AC1">
      <w:pPr>
        <w:pStyle w:val="ANSWER"/>
      </w:pPr>
      <w:r>
        <w:t xml:space="preserve">In its direct filing, </w:t>
      </w:r>
      <w:proofErr w:type="spellStart"/>
      <w:r>
        <w:t>EPE</w:t>
      </w:r>
      <w:proofErr w:type="spellEnd"/>
      <w:r>
        <w:t xml:space="preserve"> proposes an increase of </w:t>
      </w:r>
      <w:r w:rsidR="005C4FDD">
        <w:t>$69.</w:t>
      </w:r>
      <w:r w:rsidR="00065562">
        <w:t>7</w:t>
      </w:r>
      <w:r w:rsidR="005C4FDD">
        <w:t xml:space="preserve"> million in Texas </w:t>
      </w:r>
      <w:r>
        <w:t>base (non-fuel)</w:t>
      </w:r>
      <w:r w:rsidR="00065562">
        <w:t xml:space="preserve"> revenues</w:t>
      </w:r>
      <w:r w:rsidR="00805E56">
        <w:t>. This increase</w:t>
      </w:r>
      <w:r w:rsidR="005C4FDD">
        <w:t xml:space="preserve"> is offset by $27.</w:t>
      </w:r>
      <w:r w:rsidR="000F26D3">
        <w:t>9</w:t>
      </w:r>
      <w:r w:rsidR="005C4FDD">
        <w:t xml:space="preserve"> million in combined T</w:t>
      </w:r>
      <w:r w:rsidR="00805E56">
        <w:t xml:space="preserve">ransmission Cost Recovery Factor </w:t>
      </w:r>
      <w:r w:rsidR="005C4FDD">
        <w:t>and D</w:t>
      </w:r>
      <w:r w:rsidR="00805E56">
        <w:t>istribution Cost Recovery Factor</w:t>
      </w:r>
      <w:r w:rsidR="005C4FDD">
        <w:t xml:space="preserve"> revenues that are being reset to zero in this case</w:t>
      </w:r>
      <w:r w:rsidR="00805E56">
        <w:t xml:space="preserve">, for a net </w:t>
      </w:r>
      <w:r w:rsidR="00065562">
        <w:t xml:space="preserve">base </w:t>
      </w:r>
      <w:r w:rsidR="00805E56">
        <w:t>increase of $41.8 million</w:t>
      </w:r>
      <w:r w:rsidR="002F34FB">
        <w:t xml:space="preserve">, which is an average </w:t>
      </w:r>
      <w:r w:rsidR="000F26D3">
        <w:t xml:space="preserve">increase of </w:t>
      </w:r>
      <w:r w:rsidR="000F26D3" w:rsidRPr="000F26D3">
        <w:t xml:space="preserve">7.79% over </w:t>
      </w:r>
      <w:r w:rsidR="000F26D3" w:rsidRPr="000F26D3">
        <w:lastRenderedPageBreak/>
        <w:t>current non-fuel revenue</w:t>
      </w:r>
      <w:r w:rsidR="000F26D3">
        <w:t>.</w:t>
      </w:r>
      <w:r w:rsidR="00227BA4">
        <w:rPr>
          <w:rStyle w:val="FootnoteReference"/>
        </w:rPr>
        <w:footnoteReference w:id="2"/>
      </w:r>
      <w:r w:rsidR="000F26D3">
        <w:t xml:space="preserve">  This $41.8 million increase </w:t>
      </w:r>
      <w:r w:rsidR="00D621A2">
        <w:t xml:space="preserve">is comprised of an increase of $39.3 million to base firm revenue, </w:t>
      </w:r>
      <w:r w:rsidR="00E11BE6">
        <w:t xml:space="preserve">an increase of $324 thousand to interruptible base revenue, and $2.2 million recovered annually through a </w:t>
      </w:r>
      <w:r w:rsidR="00255DE9">
        <w:t xml:space="preserve">proposed COVID rider for 3 years. In </w:t>
      </w:r>
      <w:r w:rsidR="00255DE9" w:rsidRPr="00C2747B">
        <w:t xml:space="preserve">addition, </w:t>
      </w:r>
      <w:proofErr w:type="spellStart"/>
      <w:r w:rsidR="00255DE9" w:rsidRPr="00C2747B">
        <w:t>EPE</w:t>
      </w:r>
      <w:proofErr w:type="spellEnd"/>
      <w:r w:rsidR="00255DE9" w:rsidRPr="00C2747B">
        <w:t xml:space="preserve"> proposes a </w:t>
      </w:r>
      <w:r w:rsidR="002F34FB" w:rsidRPr="00C2747B">
        <w:t>$721 thousand decrease to Miscellaneous Service Charges,</w:t>
      </w:r>
      <w:r w:rsidR="00255DE9" w:rsidRPr="00C2747B">
        <w:t xml:space="preserve"> for a net increase of $41.1 million.</w:t>
      </w:r>
      <w:r w:rsidR="00227BA4" w:rsidRPr="00C2747B">
        <w:rPr>
          <w:rStyle w:val="FootnoteReference"/>
        </w:rPr>
        <w:footnoteReference w:id="3"/>
      </w:r>
      <w:r w:rsidRPr="00C2747B">
        <w:t xml:space="preserve"> </w:t>
      </w:r>
      <w:r w:rsidR="00A9228B" w:rsidRPr="00C2747B">
        <w:t xml:space="preserve"> </w:t>
      </w:r>
      <w:proofErr w:type="spellStart"/>
      <w:r w:rsidRPr="00C2747B">
        <w:t>EPE’s</w:t>
      </w:r>
      <w:proofErr w:type="spellEnd"/>
      <w:r w:rsidRPr="00C2747B">
        <w:t xml:space="preserve"> request is based on its proposed overall return of </w:t>
      </w:r>
      <w:r w:rsidR="00227BA4" w:rsidRPr="00C2747B">
        <w:t>7.985</w:t>
      </w:r>
      <w:r w:rsidRPr="00C2747B">
        <w:t>%, incorporating a return on equity of 10.</w:t>
      </w:r>
      <w:r w:rsidR="00227BA4" w:rsidRPr="00C2747B">
        <w:t>3</w:t>
      </w:r>
      <w:r w:rsidR="00322E34" w:rsidRPr="00C2747B">
        <w:t>0</w:t>
      </w:r>
      <w:r w:rsidRPr="00C2747B">
        <w:t>%.</w:t>
      </w:r>
      <w:r w:rsidRPr="00C2747B">
        <w:rPr>
          <w:rStyle w:val="FootnoteReference"/>
        </w:rPr>
        <w:footnoteReference w:id="4"/>
      </w:r>
      <w:r w:rsidRPr="00C2747B">
        <w:t xml:space="preserve">  TIEC witness </w:t>
      </w:r>
      <w:r w:rsidR="00E11A2B" w:rsidRPr="00C2747B">
        <w:t xml:space="preserve">Michael </w:t>
      </w:r>
      <w:r w:rsidRPr="00C2747B">
        <w:t>Gorman is addressing the return-on-equity issue.</w:t>
      </w:r>
    </w:p>
    <w:p w14:paraId="5E03F20B" w14:textId="77777777" w:rsidR="001006D1" w:rsidRPr="00C2747B" w:rsidRDefault="001F639B">
      <w:pPr>
        <w:pStyle w:val="TestimonyQ"/>
      </w:pPr>
      <w:r w:rsidRPr="00C2747B">
        <w:t>Please summarize the revenue requirement adjustments you are recommending.</w:t>
      </w:r>
    </w:p>
    <w:p w14:paraId="58697FDD" w14:textId="403FF6BB" w:rsidR="001006D1" w:rsidRDefault="001F639B">
      <w:pPr>
        <w:pStyle w:val="ANSWER"/>
      </w:pPr>
      <w:r w:rsidRPr="00C2747B">
        <w:t xml:space="preserve">In total, my recommended revenue requirement adjustments reduce </w:t>
      </w:r>
      <w:proofErr w:type="spellStart"/>
      <w:r w:rsidRPr="00C2747B">
        <w:t>EPE’s</w:t>
      </w:r>
      <w:proofErr w:type="spellEnd"/>
      <w:r w:rsidRPr="00C2747B">
        <w:t xml:space="preserve"> Texas base revenue requirement deficiency by </w:t>
      </w:r>
      <w:r w:rsidR="007A3236" w:rsidRPr="00C2747B">
        <w:rPr>
          <w:b/>
          <w:bCs/>
        </w:rPr>
        <w:t>$2,387,267</w:t>
      </w:r>
      <w:r w:rsidR="007A3236" w:rsidRPr="00C2747B">
        <w:t xml:space="preserve"> </w:t>
      </w:r>
      <w:r w:rsidRPr="00C2747B">
        <w:t xml:space="preserve">relative to </w:t>
      </w:r>
      <w:proofErr w:type="spellStart"/>
      <w:r w:rsidRPr="00C2747B">
        <w:t>EPE’s</w:t>
      </w:r>
      <w:proofErr w:type="spellEnd"/>
      <w:r w:rsidRPr="00C2747B">
        <w:t xml:space="preserve"> direct filing.  My revenue requirement adjustments are presented in Table KCH-1 below</w:t>
      </w:r>
      <w:r>
        <w:t xml:space="preserve">.  </w:t>
      </w:r>
    </w:p>
    <w:p w14:paraId="62737772" w14:textId="77777777" w:rsidR="00F1383A" w:rsidRPr="00F1383A" w:rsidRDefault="001F639B" w:rsidP="00872DD3">
      <w:pPr>
        <w:pStyle w:val="BodyText"/>
        <w:keepNext/>
        <w:spacing w:after="0" w:line="240" w:lineRule="auto"/>
        <w:jc w:val="center"/>
        <w:rPr>
          <w:b/>
          <w:bCs/>
        </w:rPr>
      </w:pPr>
      <w:r w:rsidRPr="00F1383A">
        <w:rPr>
          <w:b/>
          <w:bCs/>
        </w:rPr>
        <w:t>Table KCH-1</w:t>
      </w:r>
    </w:p>
    <w:p w14:paraId="77F19864" w14:textId="7BCC29FB" w:rsidR="001006D1" w:rsidRPr="00F1383A" w:rsidRDefault="001F639B" w:rsidP="00872DD3">
      <w:pPr>
        <w:pStyle w:val="BodyText"/>
        <w:keepNext/>
        <w:spacing w:after="0" w:line="240" w:lineRule="auto"/>
        <w:jc w:val="center"/>
        <w:rPr>
          <w:b/>
          <w:bCs/>
        </w:rPr>
      </w:pPr>
      <w:r w:rsidRPr="00F1383A">
        <w:rPr>
          <w:b/>
          <w:bCs/>
        </w:rPr>
        <w:t>Summary of Texas Revenue Requirement Adjustments</w:t>
      </w:r>
    </w:p>
    <w:tbl>
      <w:tblPr>
        <w:tblW w:w="7620" w:type="dxa"/>
        <w:tblInd w:w="1290" w:type="dxa"/>
        <w:tblLook w:val="04A0" w:firstRow="1" w:lastRow="0" w:firstColumn="1" w:lastColumn="0" w:noHBand="0" w:noVBand="1"/>
      </w:tblPr>
      <w:tblGrid>
        <w:gridCol w:w="6176"/>
        <w:gridCol w:w="1444"/>
      </w:tblGrid>
      <w:tr w:rsidR="003B294E" w14:paraId="2F01066E" w14:textId="77777777" w:rsidTr="003B294E">
        <w:trPr>
          <w:cantSplit/>
          <w:trHeight w:val="780"/>
        </w:trPr>
        <w:tc>
          <w:tcPr>
            <w:tcW w:w="6176" w:type="dxa"/>
            <w:tcBorders>
              <w:top w:val="nil"/>
              <w:left w:val="nil"/>
              <w:bottom w:val="single" w:sz="4" w:space="0" w:color="auto"/>
              <w:right w:val="nil"/>
            </w:tcBorders>
            <w:shd w:val="clear" w:color="000000" w:fill="FFFFFF"/>
            <w:noWrap/>
            <w:vAlign w:val="bottom"/>
            <w:hideMark/>
          </w:tcPr>
          <w:p w14:paraId="65467D6A" w14:textId="77777777" w:rsidR="003B294E" w:rsidRDefault="003B294E" w:rsidP="00872DD3">
            <w:pPr>
              <w:keepNext/>
              <w:rPr>
                <w:b/>
                <w:bCs/>
                <w:sz w:val="20"/>
                <w:szCs w:val="20"/>
              </w:rPr>
            </w:pPr>
            <w:r>
              <w:rPr>
                <w:b/>
                <w:bCs/>
                <w:sz w:val="20"/>
                <w:szCs w:val="20"/>
              </w:rPr>
              <w:t xml:space="preserve">Description </w:t>
            </w:r>
          </w:p>
        </w:tc>
        <w:tc>
          <w:tcPr>
            <w:tcW w:w="1444" w:type="dxa"/>
            <w:tcBorders>
              <w:top w:val="nil"/>
              <w:left w:val="nil"/>
              <w:bottom w:val="single" w:sz="4" w:space="0" w:color="auto"/>
              <w:right w:val="nil"/>
            </w:tcBorders>
            <w:shd w:val="clear" w:color="000000" w:fill="FFFFFF"/>
            <w:vAlign w:val="bottom"/>
            <w:hideMark/>
          </w:tcPr>
          <w:p w14:paraId="5C4638FA" w14:textId="77777777" w:rsidR="003B294E" w:rsidRDefault="003B294E" w:rsidP="00872DD3">
            <w:pPr>
              <w:keepNext/>
              <w:jc w:val="center"/>
              <w:rPr>
                <w:b/>
                <w:bCs/>
                <w:sz w:val="20"/>
                <w:szCs w:val="20"/>
              </w:rPr>
            </w:pPr>
            <w:r>
              <w:rPr>
                <w:b/>
                <w:bCs/>
                <w:sz w:val="20"/>
                <w:szCs w:val="20"/>
              </w:rPr>
              <w:t>Texas Revenue Requirement Amount</w:t>
            </w:r>
          </w:p>
        </w:tc>
      </w:tr>
      <w:tr w:rsidR="003B294E" w14:paraId="3207F614" w14:textId="77777777" w:rsidTr="003B294E">
        <w:trPr>
          <w:cantSplit/>
          <w:trHeight w:val="330"/>
        </w:trPr>
        <w:tc>
          <w:tcPr>
            <w:tcW w:w="6176" w:type="dxa"/>
            <w:tcBorders>
              <w:top w:val="nil"/>
              <w:left w:val="nil"/>
              <w:bottom w:val="nil"/>
              <w:right w:val="nil"/>
            </w:tcBorders>
            <w:shd w:val="clear" w:color="000000" w:fill="FFFFFF"/>
            <w:noWrap/>
            <w:vAlign w:val="bottom"/>
            <w:hideMark/>
          </w:tcPr>
          <w:p w14:paraId="61E05DE3" w14:textId="77777777" w:rsidR="003B294E" w:rsidRDefault="003B294E" w:rsidP="00872DD3">
            <w:pPr>
              <w:keepNext/>
              <w:rPr>
                <w:sz w:val="20"/>
                <w:szCs w:val="20"/>
              </w:rPr>
            </w:pPr>
            <w:r>
              <w:rPr>
                <w:sz w:val="20"/>
                <w:szCs w:val="20"/>
              </w:rPr>
              <w:t>SERP Adjustment</w:t>
            </w:r>
          </w:p>
        </w:tc>
        <w:tc>
          <w:tcPr>
            <w:tcW w:w="1444" w:type="dxa"/>
            <w:tcBorders>
              <w:top w:val="nil"/>
              <w:left w:val="nil"/>
              <w:bottom w:val="nil"/>
              <w:right w:val="nil"/>
            </w:tcBorders>
            <w:shd w:val="clear" w:color="000000" w:fill="FFFFFF"/>
            <w:noWrap/>
            <w:vAlign w:val="bottom"/>
            <w:hideMark/>
          </w:tcPr>
          <w:p w14:paraId="777EA667" w14:textId="77777777" w:rsidR="003B294E" w:rsidRDefault="003B294E" w:rsidP="00872DD3">
            <w:pPr>
              <w:keepNext/>
              <w:jc w:val="right"/>
              <w:rPr>
                <w:sz w:val="20"/>
                <w:szCs w:val="20"/>
              </w:rPr>
            </w:pPr>
            <w:r>
              <w:rPr>
                <w:sz w:val="20"/>
                <w:szCs w:val="20"/>
              </w:rPr>
              <w:t>($875,549)</w:t>
            </w:r>
          </w:p>
        </w:tc>
      </w:tr>
      <w:tr w:rsidR="003B294E" w14:paraId="3D823368" w14:textId="77777777" w:rsidTr="003B294E">
        <w:trPr>
          <w:cantSplit/>
          <w:trHeight w:val="330"/>
        </w:trPr>
        <w:tc>
          <w:tcPr>
            <w:tcW w:w="6176" w:type="dxa"/>
            <w:tcBorders>
              <w:top w:val="nil"/>
              <w:left w:val="nil"/>
              <w:bottom w:val="nil"/>
              <w:right w:val="nil"/>
            </w:tcBorders>
            <w:shd w:val="clear" w:color="000000" w:fill="FFFFFF"/>
            <w:noWrap/>
            <w:vAlign w:val="bottom"/>
            <w:hideMark/>
          </w:tcPr>
          <w:p w14:paraId="57AF8894" w14:textId="77777777" w:rsidR="003B294E" w:rsidRDefault="003B294E" w:rsidP="00872DD3">
            <w:pPr>
              <w:keepNext/>
              <w:rPr>
                <w:sz w:val="20"/>
                <w:szCs w:val="20"/>
              </w:rPr>
            </w:pPr>
            <w:r>
              <w:rPr>
                <w:sz w:val="20"/>
                <w:szCs w:val="20"/>
              </w:rPr>
              <w:t xml:space="preserve">Excess Benefit Adjustment </w:t>
            </w:r>
          </w:p>
        </w:tc>
        <w:tc>
          <w:tcPr>
            <w:tcW w:w="1444" w:type="dxa"/>
            <w:tcBorders>
              <w:top w:val="nil"/>
              <w:left w:val="nil"/>
              <w:bottom w:val="nil"/>
              <w:right w:val="nil"/>
            </w:tcBorders>
            <w:shd w:val="clear" w:color="000000" w:fill="FFFFFF"/>
            <w:noWrap/>
            <w:vAlign w:val="bottom"/>
            <w:hideMark/>
          </w:tcPr>
          <w:p w14:paraId="04176D70" w14:textId="77777777" w:rsidR="003B294E" w:rsidRDefault="003B294E" w:rsidP="00872DD3">
            <w:pPr>
              <w:keepNext/>
              <w:jc w:val="right"/>
              <w:rPr>
                <w:sz w:val="20"/>
                <w:szCs w:val="20"/>
              </w:rPr>
            </w:pPr>
            <w:r>
              <w:rPr>
                <w:sz w:val="20"/>
                <w:szCs w:val="20"/>
              </w:rPr>
              <w:t>($794,125)</w:t>
            </w:r>
          </w:p>
        </w:tc>
      </w:tr>
      <w:tr w:rsidR="003B294E" w14:paraId="3FC527B5" w14:textId="77777777" w:rsidTr="003B294E">
        <w:trPr>
          <w:cantSplit/>
          <w:trHeight w:val="330"/>
        </w:trPr>
        <w:tc>
          <w:tcPr>
            <w:tcW w:w="6176" w:type="dxa"/>
            <w:tcBorders>
              <w:top w:val="nil"/>
              <w:left w:val="nil"/>
              <w:bottom w:val="nil"/>
              <w:right w:val="nil"/>
            </w:tcBorders>
            <w:shd w:val="clear" w:color="000000" w:fill="FFFFFF"/>
            <w:noWrap/>
            <w:vAlign w:val="bottom"/>
            <w:hideMark/>
          </w:tcPr>
          <w:p w14:paraId="274B9DBF" w14:textId="77777777" w:rsidR="003B294E" w:rsidRDefault="003B294E" w:rsidP="00872DD3">
            <w:pPr>
              <w:keepNext/>
              <w:rPr>
                <w:sz w:val="20"/>
                <w:szCs w:val="20"/>
              </w:rPr>
            </w:pPr>
            <w:r>
              <w:rPr>
                <w:sz w:val="20"/>
                <w:szCs w:val="20"/>
              </w:rPr>
              <w:t xml:space="preserve">Palo Verde Incentive Compensation </w:t>
            </w:r>
          </w:p>
        </w:tc>
        <w:tc>
          <w:tcPr>
            <w:tcW w:w="1444" w:type="dxa"/>
            <w:tcBorders>
              <w:top w:val="nil"/>
              <w:left w:val="nil"/>
              <w:bottom w:val="nil"/>
              <w:right w:val="nil"/>
            </w:tcBorders>
            <w:shd w:val="clear" w:color="000000" w:fill="FFFFFF"/>
            <w:noWrap/>
            <w:vAlign w:val="bottom"/>
            <w:hideMark/>
          </w:tcPr>
          <w:p w14:paraId="1AEF6BC0" w14:textId="77777777" w:rsidR="003B294E" w:rsidRDefault="003B294E" w:rsidP="00872DD3">
            <w:pPr>
              <w:keepNext/>
              <w:jc w:val="right"/>
              <w:rPr>
                <w:sz w:val="20"/>
                <w:szCs w:val="20"/>
              </w:rPr>
            </w:pPr>
            <w:r>
              <w:rPr>
                <w:sz w:val="20"/>
                <w:szCs w:val="20"/>
              </w:rPr>
              <w:t>($128,494)</w:t>
            </w:r>
          </w:p>
        </w:tc>
      </w:tr>
      <w:tr w:rsidR="003B294E" w14:paraId="132EDC2C" w14:textId="77777777" w:rsidTr="003B294E">
        <w:trPr>
          <w:cantSplit/>
          <w:trHeight w:val="330"/>
        </w:trPr>
        <w:tc>
          <w:tcPr>
            <w:tcW w:w="6176" w:type="dxa"/>
            <w:tcBorders>
              <w:top w:val="nil"/>
              <w:left w:val="nil"/>
              <w:bottom w:val="nil"/>
              <w:right w:val="nil"/>
            </w:tcBorders>
            <w:shd w:val="clear" w:color="000000" w:fill="FFFFFF"/>
            <w:noWrap/>
            <w:vAlign w:val="bottom"/>
            <w:hideMark/>
          </w:tcPr>
          <w:p w14:paraId="5FC88736" w14:textId="77777777" w:rsidR="003B294E" w:rsidRDefault="003B294E" w:rsidP="00872DD3">
            <w:pPr>
              <w:keepNext/>
              <w:rPr>
                <w:sz w:val="20"/>
                <w:szCs w:val="20"/>
              </w:rPr>
            </w:pPr>
            <w:r>
              <w:rPr>
                <w:sz w:val="20"/>
                <w:szCs w:val="20"/>
              </w:rPr>
              <w:t xml:space="preserve">Revolving Credit Facilities Commitment Fees Adjustment </w:t>
            </w:r>
          </w:p>
        </w:tc>
        <w:tc>
          <w:tcPr>
            <w:tcW w:w="1444" w:type="dxa"/>
            <w:tcBorders>
              <w:top w:val="nil"/>
              <w:left w:val="nil"/>
              <w:bottom w:val="nil"/>
              <w:right w:val="nil"/>
            </w:tcBorders>
            <w:shd w:val="clear" w:color="000000" w:fill="FFFFFF"/>
            <w:noWrap/>
            <w:vAlign w:val="bottom"/>
            <w:hideMark/>
          </w:tcPr>
          <w:p w14:paraId="2AF819FB" w14:textId="77777777" w:rsidR="003B294E" w:rsidRDefault="003B294E" w:rsidP="00872DD3">
            <w:pPr>
              <w:keepNext/>
              <w:jc w:val="right"/>
              <w:rPr>
                <w:sz w:val="20"/>
                <w:szCs w:val="20"/>
              </w:rPr>
            </w:pPr>
            <w:r>
              <w:rPr>
                <w:sz w:val="20"/>
                <w:szCs w:val="20"/>
              </w:rPr>
              <w:t>($468,164)</w:t>
            </w:r>
          </w:p>
        </w:tc>
      </w:tr>
      <w:tr w:rsidR="003B294E" w14:paraId="0A90AD3E" w14:textId="77777777" w:rsidTr="003B294E">
        <w:trPr>
          <w:cantSplit/>
          <w:trHeight w:val="330"/>
        </w:trPr>
        <w:tc>
          <w:tcPr>
            <w:tcW w:w="6176" w:type="dxa"/>
            <w:tcBorders>
              <w:top w:val="nil"/>
              <w:left w:val="nil"/>
              <w:bottom w:val="single" w:sz="4" w:space="0" w:color="auto"/>
              <w:right w:val="nil"/>
            </w:tcBorders>
            <w:shd w:val="clear" w:color="000000" w:fill="FFFFFF"/>
            <w:noWrap/>
            <w:vAlign w:val="bottom"/>
            <w:hideMark/>
          </w:tcPr>
          <w:p w14:paraId="04961EAA" w14:textId="77777777" w:rsidR="003B294E" w:rsidRDefault="003B294E" w:rsidP="00872DD3">
            <w:pPr>
              <w:keepNext/>
              <w:rPr>
                <w:sz w:val="20"/>
                <w:szCs w:val="20"/>
              </w:rPr>
            </w:pPr>
            <w:r>
              <w:rPr>
                <w:sz w:val="20"/>
                <w:szCs w:val="20"/>
              </w:rPr>
              <w:t xml:space="preserve">Accumulated Depreciation - Annualization Adjustment </w:t>
            </w:r>
          </w:p>
        </w:tc>
        <w:tc>
          <w:tcPr>
            <w:tcW w:w="1444" w:type="dxa"/>
            <w:tcBorders>
              <w:top w:val="nil"/>
              <w:left w:val="nil"/>
              <w:bottom w:val="single" w:sz="4" w:space="0" w:color="auto"/>
              <w:right w:val="nil"/>
            </w:tcBorders>
            <w:shd w:val="clear" w:color="000000" w:fill="FFFFFF"/>
            <w:noWrap/>
            <w:vAlign w:val="bottom"/>
            <w:hideMark/>
          </w:tcPr>
          <w:p w14:paraId="0E2301C7" w14:textId="77777777" w:rsidR="003B294E" w:rsidRDefault="003B294E" w:rsidP="00872DD3">
            <w:pPr>
              <w:keepNext/>
              <w:jc w:val="right"/>
              <w:rPr>
                <w:sz w:val="20"/>
                <w:szCs w:val="20"/>
              </w:rPr>
            </w:pPr>
            <w:r>
              <w:rPr>
                <w:sz w:val="20"/>
                <w:szCs w:val="20"/>
              </w:rPr>
              <w:t>($120,935)</w:t>
            </w:r>
          </w:p>
        </w:tc>
      </w:tr>
      <w:tr w:rsidR="003B294E" w14:paraId="6105587D" w14:textId="77777777" w:rsidTr="003B294E">
        <w:trPr>
          <w:cantSplit/>
          <w:trHeight w:val="330"/>
        </w:trPr>
        <w:tc>
          <w:tcPr>
            <w:tcW w:w="6176" w:type="dxa"/>
            <w:tcBorders>
              <w:top w:val="nil"/>
              <w:left w:val="nil"/>
              <w:bottom w:val="nil"/>
              <w:right w:val="nil"/>
            </w:tcBorders>
            <w:shd w:val="clear" w:color="000000" w:fill="FFFFFF"/>
            <w:noWrap/>
            <w:vAlign w:val="bottom"/>
            <w:hideMark/>
          </w:tcPr>
          <w:p w14:paraId="7C3F9275" w14:textId="77777777" w:rsidR="003B294E" w:rsidRDefault="003B294E" w:rsidP="00295FCD">
            <w:pPr>
              <w:rPr>
                <w:sz w:val="20"/>
                <w:szCs w:val="20"/>
              </w:rPr>
            </w:pPr>
            <w:r>
              <w:rPr>
                <w:sz w:val="20"/>
                <w:szCs w:val="20"/>
              </w:rPr>
              <w:t xml:space="preserve">Total Adjustments </w:t>
            </w:r>
          </w:p>
        </w:tc>
        <w:tc>
          <w:tcPr>
            <w:tcW w:w="1444" w:type="dxa"/>
            <w:tcBorders>
              <w:top w:val="nil"/>
              <w:left w:val="nil"/>
              <w:bottom w:val="nil"/>
              <w:right w:val="nil"/>
            </w:tcBorders>
            <w:shd w:val="clear" w:color="000000" w:fill="FFFFFF"/>
            <w:noWrap/>
            <w:vAlign w:val="bottom"/>
            <w:hideMark/>
          </w:tcPr>
          <w:p w14:paraId="2DE27C87" w14:textId="70E932FB" w:rsidR="003B294E" w:rsidRDefault="007A3236" w:rsidP="00295FCD">
            <w:pPr>
              <w:jc w:val="right"/>
              <w:rPr>
                <w:sz w:val="20"/>
                <w:szCs w:val="20"/>
              </w:rPr>
            </w:pPr>
            <w:r w:rsidRPr="007A3236">
              <w:rPr>
                <w:sz w:val="20"/>
                <w:szCs w:val="20"/>
              </w:rPr>
              <w:t>($2,387,267)</w:t>
            </w:r>
            <w:r w:rsidRPr="007A3236" w:rsidDel="007A3236">
              <w:rPr>
                <w:sz w:val="20"/>
                <w:szCs w:val="20"/>
              </w:rPr>
              <w:t xml:space="preserve"> </w:t>
            </w:r>
          </w:p>
        </w:tc>
      </w:tr>
    </w:tbl>
    <w:p w14:paraId="02ECC453" w14:textId="77777777" w:rsidR="00A871AE" w:rsidRDefault="00A871AE" w:rsidP="00A871AE">
      <w:pPr>
        <w:pStyle w:val="BodyText"/>
        <w:suppressLineNumbers/>
      </w:pPr>
    </w:p>
    <w:p w14:paraId="36E70C57" w14:textId="309FF0FC" w:rsidR="001006D1" w:rsidRDefault="00E11A2B" w:rsidP="00A871AE">
      <w:pPr>
        <w:pStyle w:val="BodyText"/>
      </w:pPr>
      <w:r>
        <w:t xml:space="preserve">As noted, I also address a jurisdictional allocation issue concerning the direct assignment of solar plants.  </w:t>
      </w:r>
      <w:r w:rsidR="0049105C">
        <w:t>I</w:t>
      </w:r>
      <w:r w:rsidR="001F639B">
        <w:t xml:space="preserve"> will explain the basis for each of these a</w:t>
      </w:r>
      <w:r w:rsidR="00227BA4">
        <w:t>d</w:t>
      </w:r>
      <w:r w:rsidR="001F639B">
        <w:t>justments in the following sections.</w:t>
      </w:r>
    </w:p>
    <w:p w14:paraId="58D12D50" w14:textId="7A00E287" w:rsidR="001006D1" w:rsidRDefault="001F639B" w:rsidP="00C8136F">
      <w:pPr>
        <w:pStyle w:val="TestimonyQ"/>
      </w:pPr>
      <w:r>
        <w:lastRenderedPageBreak/>
        <w:t xml:space="preserve">Please summarize your recommendations concerning </w:t>
      </w:r>
      <w:proofErr w:type="spellStart"/>
      <w:r>
        <w:t>EPE’s</w:t>
      </w:r>
      <w:proofErr w:type="spellEnd"/>
      <w:r>
        <w:t xml:space="preserve"> </w:t>
      </w:r>
      <w:r w:rsidR="00C8136F">
        <w:t xml:space="preserve">PRODUCTION COST ALLOCATION. </w:t>
      </w:r>
    </w:p>
    <w:p w14:paraId="70603D19" w14:textId="40BE664E" w:rsidR="00DD594A" w:rsidRDefault="001F639B" w:rsidP="00C8136F">
      <w:pPr>
        <w:pStyle w:val="ANSWER"/>
      </w:pPr>
      <w:bookmarkStart w:id="4" w:name="_Hlk84929947"/>
      <w:r>
        <w:t xml:space="preserve">As a general proposition, I support </w:t>
      </w:r>
      <w:proofErr w:type="spellStart"/>
      <w:r>
        <w:t>EPE’s</w:t>
      </w:r>
      <w:proofErr w:type="spellEnd"/>
      <w:r>
        <w:t xml:space="preserve"> use of the Average and Excess Four Coincident Peak (“</w:t>
      </w:r>
      <w:proofErr w:type="spellStart"/>
      <w:r>
        <w:t>A&amp;E</w:t>
      </w:r>
      <w:proofErr w:type="spellEnd"/>
      <w:r>
        <w:t xml:space="preserve">/4CP”) method </w:t>
      </w:r>
      <w:bookmarkEnd w:id="4"/>
      <w:r>
        <w:t>to allocate</w:t>
      </w:r>
      <w:r w:rsidR="002124B8">
        <w:t xml:space="preserve"> </w:t>
      </w:r>
      <w:r w:rsidR="00322E34">
        <w:t xml:space="preserve">most </w:t>
      </w:r>
      <w:r w:rsidR="002124B8">
        <w:t>of</w:t>
      </w:r>
      <w:r w:rsidR="00DD594A">
        <w:t xml:space="preserve"> its</w:t>
      </w:r>
      <w:r>
        <w:t xml:space="preserve"> production plant</w:t>
      </w:r>
      <w:r w:rsidR="00DE60C5">
        <w:t xml:space="preserve">. </w:t>
      </w:r>
      <w:r w:rsidR="00DD594A">
        <w:t xml:space="preserve">However, I disagree with certain aspects of the Company’s production cost allocation </w:t>
      </w:r>
      <w:r w:rsidR="006174D0">
        <w:t>and recommend</w:t>
      </w:r>
      <w:r w:rsidR="00DD594A" w:rsidRPr="00DD594A">
        <w:t xml:space="preserve"> several changes to </w:t>
      </w:r>
      <w:proofErr w:type="spellStart"/>
      <w:r w:rsidR="00DD594A" w:rsidRPr="00DD594A">
        <w:t>EPE’s</w:t>
      </w:r>
      <w:proofErr w:type="spellEnd"/>
      <w:r w:rsidR="006174D0">
        <w:t xml:space="preserve"> proposed approach</w:t>
      </w:r>
      <w:r w:rsidR="00DD594A" w:rsidRPr="00DD594A">
        <w:t xml:space="preserve">.  The primary changes </w:t>
      </w:r>
      <w:r w:rsidR="006174D0">
        <w:t xml:space="preserve">I </w:t>
      </w:r>
      <w:r w:rsidR="00DD594A" w:rsidRPr="00DD594A">
        <w:t>recommend</w:t>
      </w:r>
      <w:r w:rsidR="006174D0">
        <w:t xml:space="preserve"> </w:t>
      </w:r>
      <w:r w:rsidR="00C5047B">
        <w:t xml:space="preserve">to </w:t>
      </w:r>
      <w:proofErr w:type="spellStart"/>
      <w:r w:rsidR="00C5047B">
        <w:t>EPE’s</w:t>
      </w:r>
      <w:proofErr w:type="spellEnd"/>
      <w:r w:rsidR="00C5047B">
        <w:t xml:space="preserve"> production cost allocation </w:t>
      </w:r>
      <w:r w:rsidR="00DD594A" w:rsidRPr="00DD594A">
        <w:t>are</w:t>
      </w:r>
      <w:r w:rsidR="006174D0">
        <w:t>:</w:t>
      </w:r>
    </w:p>
    <w:p w14:paraId="16A7DD25" w14:textId="22833369" w:rsidR="006034D4" w:rsidRPr="00C2747B" w:rsidRDefault="006034D4" w:rsidP="006034D4">
      <w:pPr>
        <w:pStyle w:val="ANSWER"/>
        <w:numPr>
          <w:ilvl w:val="0"/>
          <w:numId w:val="46"/>
        </w:numPr>
        <w:spacing w:line="240" w:lineRule="auto"/>
      </w:pPr>
      <w:r w:rsidRPr="00C2747B">
        <w:t xml:space="preserve">The capacity attributed to directly-assigned solar plants in </w:t>
      </w:r>
      <w:proofErr w:type="spellStart"/>
      <w:r w:rsidRPr="00C2747B">
        <w:t>EPE’s</w:t>
      </w:r>
      <w:proofErr w:type="spellEnd"/>
      <w:r w:rsidRPr="00C2747B">
        <w:t xml:space="preserve"> jurisdictional allocation should be adjusted to be consistent with </w:t>
      </w:r>
      <w:proofErr w:type="spellStart"/>
      <w:r w:rsidRPr="00C2747B">
        <w:t>EPE’s</w:t>
      </w:r>
      <w:proofErr w:type="spellEnd"/>
      <w:r w:rsidRPr="00C2747B">
        <w:t xml:space="preserve"> solar purchased power agreement (“</w:t>
      </w:r>
      <w:proofErr w:type="spellStart"/>
      <w:r w:rsidRPr="00C2747B">
        <w:t>PPA</w:t>
      </w:r>
      <w:proofErr w:type="spellEnd"/>
      <w:r w:rsidRPr="00C2747B">
        <w:t xml:space="preserve">”) capacity imputation.  </w:t>
      </w:r>
      <w:proofErr w:type="spellStart"/>
      <w:r w:rsidRPr="00C2747B">
        <w:t>EPE</w:t>
      </w:r>
      <w:proofErr w:type="spellEnd"/>
      <w:r w:rsidRPr="00C2747B">
        <w:t xml:space="preserve"> removed the generation from solar plants it directly assigns to New Mexico and Texas from each state’s respective 4CP demand, </w:t>
      </w:r>
      <w:r w:rsidR="00C666EC" w:rsidRPr="00C2747B">
        <w:t xml:space="preserve">which is </w:t>
      </w:r>
      <w:r w:rsidRPr="00C2747B">
        <w:t xml:space="preserve">used in the jurisdictional 4CP allocator applied to peaking units and the jurisdictional </w:t>
      </w:r>
      <w:proofErr w:type="spellStart"/>
      <w:r w:rsidRPr="00C2747B">
        <w:t>A&amp;E</w:t>
      </w:r>
      <w:proofErr w:type="spellEnd"/>
      <w:r w:rsidRPr="00C2747B">
        <w:t xml:space="preserve">/4CP allocator. This reduces the 4CP for New Mexico by approximately 68% of its directly-assigned solar capacity and the 4CP for Texas by approximately 70% of its directly-assigned solar capacity.  I recommend basing the reduction to each state’s 4CP demand on the energy production output from these solar resources (i.e., annual capacity factors). This is consistent with the approach </w:t>
      </w:r>
      <w:proofErr w:type="spellStart"/>
      <w:r w:rsidRPr="00C2747B">
        <w:t>EPE</w:t>
      </w:r>
      <w:proofErr w:type="spellEnd"/>
      <w:r w:rsidRPr="00C2747B">
        <w:t xml:space="preserve"> uses for imputing capacity costs to the Newman 10 and Macho Springs </w:t>
      </w:r>
      <w:proofErr w:type="spellStart"/>
      <w:r w:rsidRPr="00C2747B">
        <w:t>PPAs</w:t>
      </w:r>
      <w:proofErr w:type="spellEnd"/>
      <w:r w:rsidRPr="00C2747B">
        <w:t xml:space="preserve">.  </w:t>
      </w:r>
    </w:p>
    <w:p w14:paraId="01B4674D" w14:textId="38381534" w:rsidR="006034D4" w:rsidRPr="006034D4" w:rsidRDefault="006034D4" w:rsidP="006034D4">
      <w:pPr>
        <w:pStyle w:val="ANSWER"/>
        <w:numPr>
          <w:ilvl w:val="0"/>
          <w:numId w:val="0"/>
        </w:numPr>
        <w:spacing w:line="240" w:lineRule="auto"/>
        <w:ind w:left="1080"/>
      </w:pPr>
      <w:r w:rsidRPr="00C2747B">
        <w:t xml:space="preserve">In the alternative, I recommend that the capacity value imputed to the Newman 10 and Macho Springs </w:t>
      </w:r>
      <w:proofErr w:type="spellStart"/>
      <w:r w:rsidRPr="00C2747B">
        <w:t>PPAs</w:t>
      </w:r>
      <w:proofErr w:type="spellEnd"/>
      <w:r w:rsidRPr="00C2747B">
        <w:t xml:space="preserve"> be increased to be consistent with the approach </w:t>
      </w:r>
      <w:proofErr w:type="spellStart"/>
      <w:r w:rsidRPr="00C2747B">
        <w:t>EPE</w:t>
      </w:r>
      <w:proofErr w:type="spellEnd"/>
      <w:r w:rsidRPr="00C2747B">
        <w:t xml:space="preserve"> uses to attribute capacity to the directly-assigned solar resources, with a corresponding reduction to </w:t>
      </w:r>
      <w:proofErr w:type="spellStart"/>
      <w:r w:rsidRPr="00C2747B">
        <w:t>EPE’s</w:t>
      </w:r>
      <w:proofErr w:type="spellEnd"/>
      <w:r w:rsidRPr="00C2747B">
        <w:t xml:space="preserve"> eligible fuel cost.</w:t>
      </w:r>
    </w:p>
    <w:p w14:paraId="204E896D" w14:textId="5290B71C" w:rsidR="006174D0" w:rsidRDefault="006174D0" w:rsidP="006034D4">
      <w:pPr>
        <w:pStyle w:val="ANSWER"/>
        <w:numPr>
          <w:ilvl w:val="0"/>
          <w:numId w:val="46"/>
        </w:numPr>
        <w:spacing w:line="240" w:lineRule="auto"/>
      </w:pPr>
      <w:r w:rsidRPr="006174D0">
        <w:t xml:space="preserve">The load factor used for weighting average demand in the </w:t>
      </w:r>
      <w:proofErr w:type="spellStart"/>
      <w:r w:rsidRPr="006174D0">
        <w:t>A&amp;E</w:t>
      </w:r>
      <w:proofErr w:type="spellEnd"/>
      <w:r w:rsidRPr="006174D0">
        <w:t xml:space="preserve">/4CP allocator calculation should be based on single highest actual </w:t>
      </w:r>
      <w:r w:rsidR="00322E34">
        <w:t xml:space="preserve">firm </w:t>
      </w:r>
      <w:r w:rsidRPr="006174D0">
        <w:t xml:space="preserve">system coincident peak for </w:t>
      </w:r>
      <w:proofErr w:type="spellStart"/>
      <w:r w:rsidRPr="006174D0">
        <w:t>EPE’s</w:t>
      </w:r>
      <w:proofErr w:type="spellEnd"/>
      <w:r w:rsidRPr="006174D0">
        <w:t xml:space="preserve"> system</w:t>
      </w:r>
      <w:r w:rsidR="007A3236">
        <w:t xml:space="preserve"> (1CP)</w:t>
      </w:r>
      <w:r w:rsidRPr="006174D0">
        <w:t xml:space="preserve">.  </w:t>
      </w:r>
      <w:proofErr w:type="spellStart"/>
      <w:r w:rsidRPr="006174D0">
        <w:t>EPE’s</w:t>
      </w:r>
      <w:proofErr w:type="spellEnd"/>
      <w:r w:rsidRPr="006174D0">
        <w:t xml:space="preserve"> proposal to </w:t>
      </w:r>
      <w:r>
        <w:t xml:space="preserve">calculate the load factor using the average of the adjusted 4CPs </w:t>
      </w:r>
      <w:r w:rsidRPr="006174D0">
        <w:t>should be rejected.</w:t>
      </w:r>
      <w:r w:rsidR="002932EE">
        <w:t xml:space="preserve"> </w:t>
      </w:r>
    </w:p>
    <w:p w14:paraId="621AB532" w14:textId="77777777" w:rsidR="00074B87" w:rsidRDefault="00074B87" w:rsidP="006034D4">
      <w:pPr>
        <w:pStyle w:val="ANSWER"/>
        <w:numPr>
          <w:ilvl w:val="0"/>
          <w:numId w:val="46"/>
        </w:numPr>
        <w:spacing w:line="240" w:lineRule="auto"/>
      </w:pPr>
      <w:r w:rsidRPr="006174D0">
        <w:t xml:space="preserve">The </w:t>
      </w:r>
      <w:proofErr w:type="spellStart"/>
      <w:r w:rsidRPr="006174D0">
        <w:t>A&amp;E</w:t>
      </w:r>
      <w:proofErr w:type="spellEnd"/>
      <w:r w:rsidRPr="006174D0">
        <w:t xml:space="preserve">/4CP allocation method should be applied to all allocable production plant, including </w:t>
      </w:r>
      <w:proofErr w:type="spellStart"/>
      <w:r w:rsidRPr="006174D0">
        <w:t>EPE’s</w:t>
      </w:r>
      <w:proofErr w:type="spellEnd"/>
      <w:r w:rsidRPr="006174D0">
        <w:t xml:space="preserve"> peaking units (Montana Power Station Units 1-4, Rio Grande Generating Station Unit 9, and Copper Generating Station), rather than adopting </w:t>
      </w:r>
      <w:proofErr w:type="spellStart"/>
      <w:r w:rsidRPr="006174D0">
        <w:t>EPE’s</w:t>
      </w:r>
      <w:proofErr w:type="spellEnd"/>
      <w:r w:rsidRPr="006174D0">
        <w:t xml:space="preserve"> proposal to change to the 4CP method for these units.</w:t>
      </w:r>
      <w:r>
        <w:rPr>
          <w:rStyle w:val="FootnoteReference"/>
        </w:rPr>
        <w:footnoteReference w:id="5"/>
      </w:r>
      <w:r w:rsidRPr="006174D0">
        <w:t xml:space="preserve">  </w:t>
      </w:r>
    </w:p>
    <w:p w14:paraId="181D130F" w14:textId="189B9952" w:rsidR="00C8136F" w:rsidRPr="00C8136F" w:rsidRDefault="002932EE" w:rsidP="006034D4">
      <w:pPr>
        <w:pStyle w:val="ANSWER"/>
        <w:numPr>
          <w:ilvl w:val="0"/>
          <w:numId w:val="46"/>
        </w:numPr>
        <w:spacing w:line="240" w:lineRule="auto"/>
      </w:pPr>
      <w:r w:rsidRPr="00C8136F">
        <w:t>Palo Verde Operations &amp; Maintenance</w:t>
      </w:r>
      <w:r w:rsidR="00361534">
        <w:t xml:space="preserve"> (“</w:t>
      </w:r>
      <w:proofErr w:type="spellStart"/>
      <w:r w:rsidR="00361534">
        <w:t>O&amp;M</w:t>
      </w:r>
      <w:proofErr w:type="spellEnd"/>
      <w:r w:rsidR="00361534">
        <w:t>”)</w:t>
      </w:r>
      <w:r w:rsidRPr="00C8136F">
        <w:t xml:space="preserve"> expenses </w:t>
      </w:r>
      <w:r w:rsidR="00C8136F" w:rsidRPr="00C8136F">
        <w:t>(FERC Accounts 519, 520, 523, 530, 531, and 532) should b</w:t>
      </w:r>
      <w:r w:rsidRPr="00C8136F">
        <w:t xml:space="preserve">e allocated using the </w:t>
      </w:r>
      <w:proofErr w:type="spellStart"/>
      <w:r w:rsidRPr="00C8136F">
        <w:t>A&amp;E</w:t>
      </w:r>
      <w:proofErr w:type="spellEnd"/>
      <w:r w:rsidRPr="00C8136F">
        <w:t>/4CP allocator rather than</w:t>
      </w:r>
      <w:r w:rsidR="00C8136F" w:rsidRPr="00C8136F">
        <w:t xml:space="preserve"> </w:t>
      </w:r>
      <w:proofErr w:type="spellStart"/>
      <w:r w:rsidR="00C8136F" w:rsidRPr="00C8136F">
        <w:t>EPE</w:t>
      </w:r>
      <w:r w:rsidR="00C8136F">
        <w:t>’s</w:t>
      </w:r>
      <w:proofErr w:type="spellEnd"/>
      <w:r w:rsidR="00C8136F">
        <w:t xml:space="preserve"> proposed energy allocator</w:t>
      </w:r>
      <w:r w:rsidRPr="00C8136F">
        <w:t xml:space="preserve">. </w:t>
      </w:r>
    </w:p>
    <w:p w14:paraId="53B78534" w14:textId="66BB02A9" w:rsidR="001006D1" w:rsidRDefault="001F639B" w:rsidP="006034D4">
      <w:pPr>
        <w:pStyle w:val="ANSWER"/>
        <w:numPr>
          <w:ilvl w:val="0"/>
          <w:numId w:val="46"/>
        </w:numPr>
        <w:spacing w:line="240" w:lineRule="auto"/>
      </w:pPr>
      <w:r>
        <w:lastRenderedPageBreak/>
        <w:t>Generation System Control and Load Dispatching</w:t>
      </w:r>
      <w:r w:rsidR="00C8136F">
        <w:t xml:space="preserve"> (FERC </w:t>
      </w:r>
      <w:r w:rsidR="00C8136F" w:rsidRPr="00C8136F">
        <w:t>Account 556</w:t>
      </w:r>
      <w:r w:rsidR="00C8136F">
        <w:t>)</w:t>
      </w:r>
      <w:r w:rsidR="00C8136F" w:rsidRPr="00C8136F">
        <w:t xml:space="preserve"> </w:t>
      </w:r>
      <w:r>
        <w:t xml:space="preserve">should be allocated using the </w:t>
      </w:r>
      <w:proofErr w:type="spellStart"/>
      <w:r>
        <w:t>A&amp;E</w:t>
      </w:r>
      <w:proofErr w:type="spellEnd"/>
      <w:r>
        <w:t xml:space="preserve">/4CP allocator, consistent with </w:t>
      </w:r>
      <w:proofErr w:type="spellStart"/>
      <w:r>
        <w:t>EPE’s</w:t>
      </w:r>
      <w:proofErr w:type="spellEnd"/>
      <w:r>
        <w:t xml:space="preserve"> allocation of </w:t>
      </w:r>
      <w:r w:rsidR="00724764">
        <w:t xml:space="preserve">most </w:t>
      </w:r>
      <w:r>
        <w:t xml:space="preserve">generation plant. </w:t>
      </w:r>
    </w:p>
    <w:p w14:paraId="5D9D1198" w14:textId="33A32FD6" w:rsidR="00C8136F" w:rsidRDefault="00C8136F" w:rsidP="00C8136F">
      <w:pPr>
        <w:pStyle w:val="TestimonyQ"/>
      </w:pPr>
      <w:bookmarkStart w:id="5" w:name="_Hlk84929494"/>
      <w:r>
        <w:t xml:space="preserve">Please summarize your recommendations concerning </w:t>
      </w:r>
      <w:proofErr w:type="spellStart"/>
      <w:r>
        <w:t>EPE’s</w:t>
      </w:r>
      <w:proofErr w:type="spellEnd"/>
      <w:r>
        <w:t xml:space="preserve"> TRANSMISSION COST </w:t>
      </w:r>
      <w:r w:rsidR="004E2F52">
        <w:t>ALLOCATION</w:t>
      </w:r>
      <w:r>
        <w:t>.</w:t>
      </w:r>
    </w:p>
    <w:p w14:paraId="439BD860" w14:textId="6DF213FC" w:rsidR="00730E8B" w:rsidRDefault="00C8136F" w:rsidP="004E2F52">
      <w:pPr>
        <w:pStyle w:val="ANSWER"/>
      </w:pPr>
      <w:r w:rsidRPr="00C8136F">
        <w:t xml:space="preserve">I </w:t>
      </w:r>
      <w:r w:rsidR="00730E8B">
        <w:t xml:space="preserve">generally support </w:t>
      </w:r>
      <w:proofErr w:type="spellStart"/>
      <w:r w:rsidR="00730E8B">
        <w:t>EPE’s</w:t>
      </w:r>
      <w:proofErr w:type="spellEnd"/>
      <w:r w:rsidR="00730E8B">
        <w:t xml:space="preserve"> use of the 4CP method to allocate transmission plant and most transmission expenses.  However, I recommend two changes to </w:t>
      </w:r>
      <w:proofErr w:type="spellStart"/>
      <w:r w:rsidR="00730E8B">
        <w:t>EPE’s</w:t>
      </w:r>
      <w:proofErr w:type="spellEnd"/>
      <w:r w:rsidR="00730E8B">
        <w:t xml:space="preserve"> transmission cost allocation approac</w:t>
      </w:r>
      <w:bookmarkEnd w:id="5"/>
      <w:r w:rsidR="00730E8B">
        <w:t xml:space="preserve">h: </w:t>
      </w:r>
    </w:p>
    <w:p w14:paraId="427DEFBC" w14:textId="381CF6E0" w:rsidR="001006D1" w:rsidRDefault="001F639B" w:rsidP="00963AC0">
      <w:pPr>
        <w:pStyle w:val="BodyTextIndent"/>
        <w:numPr>
          <w:ilvl w:val="0"/>
          <w:numId w:val="10"/>
        </w:numPr>
        <w:tabs>
          <w:tab w:val="left" w:pos="-3240"/>
        </w:tabs>
        <w:jc w:val="both"/>
      </w:pPr>
      <w:r>
        <w:t xml:space="preserve">Transmission Load Dispatching </w:t>
      </w:r>
      <w:r w:rsidR="00730E8B">
        <w:t xml:space="preserve">(FERC </w:t>
      </w:r>
      <w:r w:rsidR="00730E8B" w:rsidRPr="00730E8B">
        <w:t>Account 561</w:t>
      </w:r>
      <w:r w:rsidR="00730E8B">
        <w:t>)</w:t>
      </w:r>
      <w:r w:rsidR="00730E8B" w:rsidRPr="00730E8B">
        <w:t xml:space="preserve"> </w:t>
      </w:r>
      <w:r>
        <w:t>should be allocated using the 4CP method, consistent with all other transmission costs</w:t>
      </w:r>
      <w:r w:rsidR="00730E8B">
        <w:t xml:space="preserve">, rather than </w:t>
      </w:r>
      <w:proofErr w:type="spellStart"/>
      <w:r w:rsidR="00730E8B">
        <w:t>EPE’s</w:t>
      </w:r>
      <w:proofErr w:type="spellEnd"/>
      <w:r w:rsidR="00730E8B">
        <w:t xml:space="preserve"> 12CP allocator. </w:t>
      </w:r>
    </w:p>
    <w:p w14:paraId="3AD94880" w14:textId="79C48291" w:rsidR="001006D1" w:rsidRPr="00730E8B" w:rsidRDefault="001F639B" w:rsidP="00963AC0">
      <w:pPr>
        <w:pStyle w:val="BodyTextIndent"/>
        <w:numPr>
          <w:ilvl w:val="0"/>
          <w:numId w:val="10"/>
        </w:numPr>
        <w:jc w:val="both"/>
        <w:rPr>
          <w:iCs/>
        </w:rPr>
      </w:pPr>
      <w:r>
        <w:rPr>
          <w:iCs/>
        </w:rPr>
        <w:t xml:space="preserve">Customers that receive service at 115 kV voltage should not be allocated costs associated with </w:t>
      </w:r>
      <w:proofErr w:type="spellStart"/>
      <w:r>
        <w:rPr>
          <w:iCs/>
        </w:rPr>
        <w:t>EPE’s</w:t>
      </w:r>
      <w:proofErr w:type="spellEnd"/>
      <w:r>
        <w:rPr>
          <w:iCs/>
        </w:rPr>
        <w:t xml:space="preserve"> 69 kV transmission system, since, as a general matter, 115 kV </w:t>
      </w:r>
      <w:r>
        <w:t xml:space="preserve">customers do not utilize the 69 kV system.  </w:t>
      </w:r>
    </w:p>
    <w:p w14:paraId="71795F0A" w14:textId="1AE6A093" w:rsidR="00730E8B" w:rsidRDefault="004E2F52" w:rsidP="004E2F52">
      <w:pPr>
        <w:pStyle w:val="TestimonyQ"/>
      </w:pPr>
      <w:r>
        <w:t xml:space="preserve">DO YOU RECOMMEND ANY CHANGES TO </w:t>
      </w:r>
      <w:proofErr w:type="spellStart"/>
      <w:r>
        <w:t>EPE’S</w:t>
      </w:r>
      <w:proofErr w:type="spellEnd"/>
      <w:r>
        <w:t xml:space="preserve"> ALLOCATION OF MISCELLANEOUS EXPENSES?</w:t>
      </w:r>
    </w:p>
    <w:p w14:paraId="4CFB71F6" w14:textId="739A52CF" w:rsidR="00730E8B" w:rsidRDefault="004E2F52" w:rsidP="00175F9C">
      <w:pPr>
        <w:pStyle w:val="ANSWER"/>
      </w:pPr>
      <w:r>
        <w:t xml:space="preserve">Yes, I recommend that </w:t>
      </w:r>
      <w:r w:rsidRPr="004E2F52">
        <w:t>Contributions and Donations expense be allocated based on customer count, because it is appropriate to allocate these costs in a manner that reflects the broad community benefit of these gifts.</w:t>
      </w:r>
    </w:p>
    <w:p w14:paraId="3CBF3B5B" w14:textId="27230B61" w:rsidR="001006D1" w:rsidRPr="00CB0D57" w:rsidRDefault="004E2F52">
      <w:pPr>
        <w:pStyle w:val="TestimonyQ"/>
      </w:pPr>
      <w:r w:rsidRPr="00CB0D57">
        <w:t>P</w:t>
      </w:r>
      <w:r w:rsidR="001F639B" w:rsidRPr="00CB0D57">
        <w:t>lease summarize your recommendations concerning the allocation of any increase or decrease.</w:t>
      </w:r>
    </w:p>
    <w:p w14:paraId="0F54D845" w14:textId="40AECAD2" w:rsidR="001006D1" w:rsidRPr="00CB0D57" w:rsidRDefault="001F639B" w:rsidP="00A871AE">
      <w:pPr>
        <w:pStyle w:val="ANSWER"/>
      </w:pPr>
      <w:bookmarkStart w:id="6" w:name="_Hlk84929031"/>
      <w:r w:rsidRPr="00CB0D57">
        <w:t xml:space="preserve">I </w:t>
      </w:r>
      <w:r w:rsidR="00CB0D57" w:rsidRPr="00CB0D57">
        <w:t xml:space="preserve">recommend moving </w:t>
      </w:r>
      <w:r w:rsidRPr="00CB0D57">
        <w:t xml:space="preserve">all rate classes to full cost recovery.  Moving each class to full cost recovery eliminates inter-class subsidies and is consistent with the Commission’s strong preference for aligning class revenues with costs.  </w:t>
      </w:r>
      <w:bookmarkEnd w:id="6"/>
    </w:p>
    <w:p w14:paraId="44F98A1C" w14:textId="77777777" w:rsidR="001006D1" w:rsidRPr="00CB0D57" w:rsidRDefault="001F639B" w:rsidP="009B531A">
      <w:pPr>
        <w:pStyle w:val="TestimonyQ"/>
      </w:pPr>
      <w:r w:rsidRPr="00CB0D57">
        <w:t>Please summarize your recommendations concerning rate design.</w:t>
      </w:r>
    </w:p>
    <w:p w14:paraId="3434331B" w14:textId="78AF3395" w:rsidR="001006D1" w:rsidRDefault="001F639B">
      <w:pPr>
        <w:pStyle w:val="ANSWER"/>
      </w:pPr>
      <w:r w:rsidRPr="00CB0D57">
        <w:t xml:space="preserve">I recommend that the applicability provision in Rate 25 be modified to remove the language that prohibits customers eligible for other rate schedules from taking service under this rate schedule.  The choice of the appropriate rate schedule should be the customer’s, not </w:t>
      </w:r>
      <w:proofErr w:type="spellStart"/>
      <w:r w:rsidRPr="00CB0D57">
        <w:t>EPE’s</w:t>
      </w:r>
      <w:proofErr w:type="spellEnd"/>
      <w:r w:rsidRPr="00CB0D57">
        <w:t>.  If a customer meets the eligibility requirements for a rate schedule, that customer should be able to receive service under that schedule.</w:t>
      </w:r>
    </w:p>
    <w:p w14:paraId="0A0A493E" w14:textId="77777777" w:rsidR="001006D1" w:rsidRPr="007F0F85" w:rsidRDefault="001F639B" w:rsidP="007F0F85">
      <w:pPr>
        <w:pStyle w:val="Heading1"/>
      </w:pPr>
      <w:bookmarkStart w:id="7" w:name="_Toc85714077"/>
      <w:r w:rsidRPr="007F0F85">
        <w:lastRenderedPageBreak/>
        <w:t>REVENUE REQUIREMENT</w:t>
      </w:r>
      <w:bookmarkEnd w:id="7"/>
      <w:r w:rsidRPr="007F0F85">
        <w:t xml:space="preserve">  </w:t>
      </w:r>
    </w:p>
    <w:p w14:paraId="1E664691" w14:textId="77777777" w:rsidR="001006D1" w:rsidRDefault="001F639B" w:rsidP="00BB70B6">
      <w:pPr>
        <w:pStyle w:val="Heading3"/>
      </w:pPr>
      <w:bookmarkStart w:id="8" w:name="_Toc85714078"/>
      <w:r>
        <w:t>Supplemental Executive Retirement Plan and Excess Benefit Plan</w:t>
      </w:r>
      <w:bookmarkEnd w:id="8"/>
    </w:p>
    <w:p w14:paraId="54ADE478" w14:textId="77777777" w:rsidR="001006D1" w:rsidRDefault="001F639B">
      <w:pPr>
        <w:pStyle w:val="TestimonyQ"/>
      </w:pPr>
      <w:r>
        <w:t>WHAT IS A SUPPLEMENTAL EXECUTIVE RETIREMENT PLAN/EXCESS BENEFIT PLAN?</w:t>
      </w:r>
    </w:p>
    <w:p w14:paraId="6CF43965" w14:textId="2CC108FD" w:rsidR="001E3FDC" w:rsidRDefault="001F639B" w:rsidP="00175F9C">
      <w:pPr>
        <w:pStyle w:val="ANSWER"/>
        <w:spacing w:after="0"/>
      </w:pPr>
      <w:r>
        <w:t>Supplemental executive retirement plans (“SERP”) and excess benefit plans are also known as non-qualified retirement plans.  Such plans provide benefits in excess of the earnings limitations set in Section </w:t>
      </w:r>
      <w:r>
        <w:rPr>
          <w:bCs/>
        </w:rPr>
        <w:t>415</w:t>
      </w:r>
      <w:r>
        <w:t> of the </w:t>
      </w:r>
      <w:r>
        <w:rPr>
          <w:bCs/>
        </w:rPr>
        <w:t>Internal Revenue</w:t>
      </w:r>
      <w:r>
        <w:t xml:space="preserve"> Code, and therefore lack the tax advantages conferred upon qualified pension plans. </w:t>
      </w:r>
      <w:r w:rsidR="001E3FDC" w:rsidRPr="001E3FDC">
        <w:t>For 2021, for qualified plans, the Internal Revenue Code limits the maximum annual benefit that can be paid through a defined benefit plan to $230,000 per year and limits the compensation that can be included in determining benefits to $290,000.</w:t>
      </w:r>
      <w:r w:rsidR="00F1383A">
        <w:rPr>
          <w:rStyle w:val="FootnoteReference"/>
        </w:rPr>
        <w:footnoteReference w:id="6"/>
      </w:r>
      <w:r w:rsidR="001E3FDC" w:rsidRPr="001E3FDC">
        <w:t xml:space="preserve"> </w:t>
      </w:r>
      <w:r w:rsidR="00F1383A">
        <w:t xml:space="preserve"> </w:t>
      </w:r>
      <w:r w:rsidR="001E3FDC" w:rsidRPr="001E3FDC">
        <w:t>In contrast, there is no statutory restriction on the amount of the benefit that may be offered under a non-qualified pension plan</w:t>
      </w:r>
      <w:r w:rsidR="00361534">
        <w:t>.</w:t>
      </w:r>
      <w:r>
        <w:t xml:space="preserve"> </w:t>
      </w:r>
      <w:r w:rsidR="00A9228B">
        <w:t xml:space="preserve"> </w:t>
      </w:r>
      <w:r>
        <w:t>Typically, non-qualified plans are intended to benefit a select group of highly-compensated employees.</w:t>
      </w:r>
    </w:p>
    <w:p w14:paraId="02801C5D" w14:textId="27C2245C" w:rsidR="001006D1" w:rsidRPr="001E3FDC" w:rsidRDefault="00A05FA2" w:rsidP="00A05FA2">
      <w:pPr>
        <w:pStyle w:val="ANSWER"/>
        <w:numPr>
          <w:ilvl w:val="0"/>
          <w:numId w:val="0"/>
        </w:numPr>
        <w:spacing w:before="240" w:after="0"/>
        <w:ind w:left="720" w:hanging="720"/>
        <w:rPr>
          <w:b/>
          <w:bCs/>
          <w:caps/>
        </w:rPr>
      </w:pPr>
      <w:r>
        <w:rPr>
          <w:b/>
          <w:bCs/>
          <w:caps/>
        </w:rPr>
        <w:t>Q.</w:t>
      </w:r>
      <w:r>
        <w:rPr>
          <w:b/>
          <w:bCs/>
          <w:caps/>
        </w:rPr>
        <w:tab/>
      </w:r>
      <w:r w:rsidR="001F639B" w:rsidRPr="001E3FDC">
        <w:rPr>
          <w:b/>
          <w:bCs/>
          <w:caps/>
        </w:rPr>
        <w:t xml:space="preserve">please describe </w:t>
      </w:r>
      <w:proofErr w:type="spellStart"/>
      <w:r w:rsidR="001F639B" w:rsidRPr="001E3FDC">
        <w:rPr>
          <w:b/>
          <w:bCs/>
          <w:caps/>
        </w:rPr>
        <w:t>ePE’S</w:t>
      </w:r>
      <w:proofErr w:type="spellEnd"/>
      <w:r w:rsidR="001F639B" w:rsidRPr="001E3FDC">
        <w:rPr>
          <w:b/>
          <w:bCs/>
          <w:caps/>
        </w:rPr>
        <w:t xml:space="preserve"> NON-QUALIFIED RETIREMENT PLANS. </w:t>
      </w:r>
    </w:p>
    <w:p w14:paraId="07CCC6DF" w14:textId="0CDEBD9F" w:rsidR="001006D1" w:rsidRDefault="001F639B" w:rsidP="00175F9C">
      <w:pPr>
        <w:pStyle w:val="ANSWER"/>
      </w:pPr>
      <w:proofErr w:type="spellStart"/>
      <w:r>
        <w:t>EPE</w:t>
      </w:r>
      <w:proofErr w:type="spellEnd"/>
      <w:r>
        <w:t xml:space="preserve"> has two non-qualified retirement income plans</w:t>
      </w:r>
      <w:r w:rsidR="00A9228B">
        <w:t xml:space="preserve">: </w:t>
      </w:r>
      <w:r>
        <w:t>(</w:t>
      </w:r>
      <w:proofErr w:type="spellStart"/>
      <w:r>
        <w:t>i</w:t>
      </w:r>
      <w:proofErr w:type="spellEnd"/>
      <w:r>
        <w:t xml:space="preserve">) its SERP and (ii) its Excess Benefit Plan.  </w:t>
      </w:r>
      <w:proofErr w:type="spellStart"/>
      <w:r>
        <w:t>EPE</w:t>
      </w:r>
      <w:proofErr w:type="spellEnd"/>
      <w:r>
        <w:t xml:space="preserve"> closed its SERP to new participants in 1996 in conjunction with its emergence from bankruptcy.  However, the plan covers 1</w:t>
      </w:r>
      <w:r w:rsidR="008D4E8D">
        <w:t>7</w:t>
      </w:r>
      <w:r>
        <w:t xml:space="preserve"> former officers and 9 former employee</w:t>
      </w:r>
      <w:r w:rsidR="00175F9C">
        <w:t>s who were grandfathered</w:t>
      </w:r>
      <w:r w:rsidR="00322E34">
        <w:t xml:space="preserve"> on the plan</w:t>
      </w:r>
      <w:r w:rsidR="00175F9C">
        <w:t>.</w:t>
      </w:r>
      <w:r>
        <w:rPr>
          <w:rStyle w:val="FootnoteReference"/>
          <w:bCs/>
        </w:rPr>
        <w:footnoteReference w:id="7"/>
      </w:r>
      <w:r>
        <w:t xml:space="preserve">  </w:t>
      </w:r>
    </w:p>
    <w:p w14:paraId="55F61D7F" w14:textId="525C9289" w:rsidR="001006D1" w:rsidRDefault="001F639B" w:rsidP="00F1383A">
      <w:pPr>
        <w:pStyle w:val="BodyText"/>
      </w:pPr>
      <w:r>
        <w:t>The Excess Benefit Plan was adopted in 2004, and covers 1</w:t>
      </w:r>
      <w:r w:rsidR="008D4E8D">
        <w:t>3</w:t>
      </w:r>
      <w:r>
        <w:t xml:space="preserve"> current officers</w:t>
      </w:r>
      <w:r w:rsidR="00C2747B">
        <w:t xml:space="preserve"> and 19 former officers</w:t>
      </w:r>
      <w:r>
        <w:t>.</w:t>
      </w:r>
      <w:r>
        <w:rPr>
          <w:rStyle w:val="FootnoteReference"/>
          <w:bCs/>
        </w:rPr>
        <w:footnoteReference w:id="8"/>
      </w:r>
      <w:r>
        <w:t xml:space="preserve">  According to </w:t>
      </w:r>
      <w:proofErr w:type="spellStart"/>
      <w:r>
        <w:t>EPE’s</w:t>
      </w:r>
      <w:proofErr w:type="spellEnd"/>
      <w:r>
        <w:t xml:space="preserve"> most recent 10-K, the Excess Benefit Plan </w:t>
      </w:r>
      <w:r w:rsidR="001E3FDC">
        <w:t>is offered to employees holding the office of Vice President and above, as well as “a select group of management or highly compensated employees.</w:t>
      </w:r>
      <w:r>
        <w:t>”</w:t>
      </w:r>
      <w:r>
        <w:rPr>
          <w:rStyle w:val="FootnoteReference"/>
          <w:bCs/>
        </w:rPr>
        <w:footnoteReference w:id="9"/>
      </w:r>
    </w:p>
    <w:p w14:paraId="5DD682B8" w14:textId="77777777" w:rsidR="001006D1" w:rsidRDefault="001F639B">
      <w:pPr>
        <w:pStyle w:val="TestimonyQ"/>
      </w:pPr>
      <w:r>
        <w:lastRenderedPageBreak/>
        <w:t xml:space="preserve">WHAT RATEMAKING TREATMENT HAS </w:t>
      </w:r>
      <w:proofErr w:type="spellStart"/>
      <w:r>
        <w:t>EPE</w:t>
      </w:r>
      <w:proofErr w:type="spellEnd"/>
      <w:r>
        <w:t xml:space="preserve"> PROPOSED REGARDING ITS SERP AND EXCESS BENEFIT PLAN?</w:t>
      </w:r>
    </w:p>
    <w:p w14:paraId="0961A57D" w14:textId="77777777" w:rsidR="001006D1" w:rsidRDefault="001F639B">
      <w:pPr>
        <w:pStyle w:val="ANSWER"/>
      </w:pPr>
      <w:proofErr w:type="spellStart"/>
      <w:r>
        <w:t>EPE</w:t>
      </w:r>
      <w:proofErr w:type="spellEnd"/>
      <w:r>
        <w:t xml:space="preserve"> is proposing to include the cost of its SERP and Excess Benefit Plan in its proposed revenue requirement.</w:t>
      </w:r>
    </w:p>
    <w:p w14:paraId="02165B52" w14:textId="77777777" w:rsidR="001006D1" w:rsidRDefault="001F639B">
      <w:pPr>
        <w:pStyle w:val="TestimonyQ"/>
      </w:pPr>
      <w:r>
        <w:t xml:space="preserve">DO YOU AGREE WITH </w:t>
      </w:r>
      <w:proofErr w:type="spellStart"/>
      <w:r>
        <w:t>EPE’S</w:t>
      </w:r>
      <w:proofErr w:type="spellEnd"/>
      <w:r>
        <w:t xml:space="preserve"> PROPOSAL TO INCLUDE THE COST OF ITS SERP AND EXCESS BENEFIT PLAN IN RATES?</w:t>
      </w:r>
    </w:p>
    <w:p w14:paraId="2EBA0107" w14:textId="755C8EE1" w:rsidR="001006D1" w:rsidRDefault="001F639B">
      <w:pPr>
        <w:pStyle w:val="ANSWER"/>
      </w:pPr>
      <w:r>
        <w:t>No, I do not.  Customers should not be forced to fund the extraordinary retirement benefits reflected in non-qualified retirement plans.  I do not see the provision of a non-qualified retirement income plan to be essential for the provision of electricity service to customers, but rather a discretionary benefit.  The cost of these exceptional retirement benefits granted to a select group of highly-compensated employees and officers should be borne by shareholders, not customers.</w:t>
      </w:r>
      <w:r w:rsidR="006E77C7">
        <w:t xml:space="preserve"> </w:t>
      </w:r>
      <w:r>
        <w:t xml:space="preserve"> These costs should be excluded from the revenue requirement.</w:t>
      </w:r>
    </w:p>
    <w:p w14:paraId="30C631C7" w14:textId="7E0F5556" w:rsidR="001006D1" w:rsidRDefault="001F639B" w:rsidP="00F1383A">
      <w:pPr>
        <w:pStyle w:val="BodyText"/>
      </w:pPr>
      <w:r w:rsidRPr="00C2747B">
        <w:t>This recommendation is consistent with Commission</w:t>
      </w:r>
      <w:r w:rsidR="006E77C7" w:rsidRPr="00C2747B">
        <w:t xml:space="preserve"> precedent that</w:t>
      </w:r>
      <w:r w:rsidRPr="00C2747B">
        <w:t xml:space="preserve"> non-qualified executive retirement benefits</w:t>
      </w:r>
      <w:r w:rsidR="008A76A9">
        <w:t xml:space="preserve"> </w:t>
      </w:r>
      <w:r w:rsidRPr="00C2747B">
        <w:t>are not reasonable or necessary to provide utility service to the public, not in the public interest, and should not be included in cost of service.</w:t>
      </w:r>
      <w:r w:rsidRPr="00C2747B">
        <w:rPr>
          <w:rStyle w:val="FootnoteReference"/>
          <w:bCs/>
        </w:rPr>
        <w:footnoteReference w:id="10"/>
      </w:r>
    </w:p>
    <w:p w14:paraId="3E706DAB" w14:textId="77777777" w:rsidR="001006D1" w:rsidRDefault="001F639B">
      <w:pPr>
        <w:pStyle w:val="TestimonyQ"/>
      </w:pPr>
      <w:r>
        <w:t>WHAT IS YOUR RECOMMENDATION TO THE COMMISSION ON THIS ISSUE?</w:t>
      </w:r>
    </w:p>
    <w:p w14:paraId="7A2C12CF" w14:textId="09947B10" w:rsidR="001006D1" w:rsidRPr="00C2747B" w:rsidRDefault="001F639B">
      <w:pPr>
        <w:pStyle w:val="ANSWER"/>
      </w:pPr>
      <w:r w:rsidRPr="00C2747B">
        <w:t xml:space="preserve">I recommend that the Company’s SERP and Excess Benefit Plan expenses be removed from the revenue requirement.  The adjustment to remove SERP expenses reduces the Texas revenue requirement by approximately </w:t>
      </w:r>
      <w:r w:rsidR="001E3FDC" w:rsidRPr="00C2747B">
        <w:rPr>
          <w:b/>
          <w:bCs/>
        </w:rPr>
        <w:t>$875,549</w:t>
      </w:r>
      <w:r w:rsidR="001E3FDC" w:rsidRPr="00C2747B">
        <w:t xml:space="preserve"> </w:t>
      </w:r>
      <w:r w:rsidRPr="00C2747B">
        <w:t>and is presented in Exhibit KCH-</w:t>
      </w:r>
      <w:r w:rsidR="00012655" w:rsidRPr="00C2747B">
        <w:t>1</w:t>
      </w:r>
      <w:r w:rsidRPr="00C2747B">
        <w:t xml:space="preserve">, while the adjustment to remove Excess Benefit Plan expenses reduces the Texas revenue requirement by approximately </w:t>
      </w:r>
      <w:r w:rsidR="001E3FDC" w:rsidRPr="00C2747B">
        <w:rPr>
          <w:b/>
          <w:bCs/>
        </w:rPr>
        <w:t>$794,125</w:t>
      </w:r>
      <w:r w:rsidR="001E3FDC" w:rsidRPr="00C2747B">
        <w:t xml:space="preserve"> </w:t>
      </w:r>
      <w:r w:rsidRPr="00C2747B">
        <w:t>and is presented in Exhibit KCH-</w:t>
      </w:r>
      <w:r w:rsidR="00012655" w:rsidRPr="00C2747B">
        <w:t>2</w:t>
      </w:r>
      <w:r w:rsidRPr="00C2747B">
        <w:t xml:space="preserve">. </w:t>
      </w:r>
    </w:p>
    <w:p w14:paraId="51CEE585" w14:textId="77777777" w:rsidR="00523FF5" w:rsidRDefault="00523FF5" w:rsidP="00523FF5">
      <w:pPr>
        <w:suppressLineNumbers/>
        <w:rPr>
          <w:b/>
          <w:u w:val="single"/>
        </w:rPr>
      </w:pPr>
      <w:bookmarkStart w:id="9" w:name="_Toc85714079"/>
      <w:r>
        <w:br w:type="page"/>
      </w:r>
    </w:p>
    <w:p w14:paraId="1C5FE1BA" w14:textId="2602BB0F" w:rsidR="001006D1" w:rsidRDefault="001F639B" w:rsidP="00BB70B6">
      <w:pPr>
        <w:pStyle w:val="Heading3"/>
      </w:pPr>
      <w:r>
        <w:lastRenderedPageBreak/>
        <w:t>Palo Verde Incentive Compensation</w:t>
      </w:r>
      <w:bookmarkEnd w:id="9"/>
      <w:r>
        <w:t xml:space="preserve"> </w:t>
      </w:r>
    </w:p>
    <w:p w14:paraId="5BF05A8E" w14:textId="30D3663C" w:rsidR="008F11FB" w:rsidRDefault="008F11FB" w:rsidP="00313CE2">
      <w:pPr>
        <w:pStyle w:val="TestimonyQ"/>
      </w:pPr>
      <w:r>
        <w:t xml:space="preserve">PLEASE DESCRIBE </w:t>
      </w:r>
      <w:proofErr w:type="spellStart"/>
      <w:r>
        <w:t>EPE’S</w:t>
      </w:r>
      <w:proofErr w:type="spellEnd"/>
      <w:r>
        <w:t xml:space="preserve"> OWNERSHIP INTEREST IN PALO VERDE NUCLEAR GENERATING STATION (“</w:t>
      </w:r>
      <w:proofErr w:type="spellStart"/>
      <w:r>
        <w:t>PVNGS</w:t>
      </w:r>
      <w:proofErr w:type="spellEnd"/>
      <w:r>
        <w:t xml:space="preserve">”). </w:t>
      </w:r>
    </w:p>
    <w:p w14:paraId="2ECEE0F3" w14:textId="492FB660" w:rsidR="008F11FB" w:rsidRPr="00FD1485" w:rsidRDefault="008F11FB" w:rsidP="009F6AC1">
      <w:pPr>
        <w:pStyle w:val="ANSWER"/>
      </w:pPr>
      <w:proofErr w:type="spellStart"/>
      <w:r>
        <w:t>PVNGS</w:t>
      </w:r>
      <w:proofErr w:type="spellEnd"/>
      <w:r>
        <w:t xml:space="preserve">, the largest nuclear power station in the U.S., consists of three identical units with an electric design rating totaling 4,003 MW.  </w:t>
      </w:r>
      <w:proofErr w:type="spellStart"/>
      <w:r>
        <w:t>EPE</w:t>
      </w:r>
      <w:proofErr w:type="spellEnd"/>
      <w:r>
        <w:t xml:space="preserve"> owns a 15.8% share of each of the three units and the common facilities and receives an allocation of approximately 633 MW when at full power.</w:t>
      </w:r>
      <w:r>
        <w:rPr>
          <w:rStyle w:val="FootnoteReference"/>
        </w:rPr>
        <w:footnoteReference w:id="11"/>
      </w:r>
      <w:r w:rsidR="006E77C7">
        <w:t xml:space="preserve"> </w:t>
      </w:r>
      <w:r>
        <w:t xml:space="preserve"> </w:t>
      </w:r>
      <w:proofErr w:type="spellStart"/>
      <w:r>
        <w:t>PVNGS</w:t>
      </w:r>
      <w:proofErr w:type="spellEnd"/>
      <w:r>
        <w:t xml:space="preserve"> is </w:t>
      </w:r>
      <w:r w:rsidR="006A6CB7">
        <w:t xml:space="preserve">jointly </w:t>
      </w:r>
      <w:r>
        <w:t xml:space="preserve">owned by seven southwestern utilities and operated by Arizona Public Service Company (“APS”) under a Participation Agreement. </w:t>
      </w:r>
      <w:r w:rsidR="006A6CB7">
        <w:t xml:space="preserve"> The </w:t>
      </w:r>
      <w:proofErr w:type="spellStart"/>
      <w:r w:rsidR="006A6CB7">
        <w:t>PVNGS</w:t>
      </w:r>
      <w:proofErr w:type="spellEnd"/>
      <w:r w:rsidR="006A6CB7">
        <w:t xml:space="preserve"> capital and </w:t>
      </w:r>
      <w:proofErr w:type="spellStart"/>
      <w:r w:rsidR="006A6CB7">
        <w:t>O&amp;M</w:t>
      </w:r>
      <w:proofErr w:type="spellEnd"/>
      <w:r w:rsidR="006A6CB7">
        <w:t xml:space="preserve"> budgets are reviewed and approved by the joint owners.</w:t>
      </w:r>
      <w:r w:rsidR="006A6CB7">
        <w:rPr>
          <w:rStyle w:val="FootnoteReference"/>
        </w:rPr>
        <w:footnoteReference w:id="12"/>
      </w:r>
    </w:p>
    <w:p w14:paraId="25635046" w14:textId="18DC5576" w:rsidR="001006D1" w:rsidRDefault="006A6CB7">
      <w:pPr>
        <w:pStyle w:val="TestimonyQ"/>
      </w:pPr>
      <w:r>
        <w:t xml:space="preserve">WHAT </w:t>
      </w:r>
      <w:r w:rsidR="001F639B">
        <w:t>ADJUSTMENT</w:t>
      </w:r>
      <w:r>
        <w:t xml:space="preserve"> DO YOU RECOMMEND</w:t>
      </w:r>
      <w:r w:rsidR="001F639B">
        <w:t xml:space="preserve"> FOR PALO VERDE INCENTIVE COMPENSATION</w:t>
      </w:r>
      <w:r>
        <w:t>?</w:t>
      </w:r>
    </w:p>
    <w:p w14:paraId="6E0B4DA4" w14:textId="4649F7BD" w:rsidR="001006D1" w:rsidRDefault="001F639B" w:rsidP="009F6AC1">
      <w:pPr>
        <w:pStyle w:val="ANSWER"/>
      </w:pPr>
      <w:r>
        <w:t xml:space="preserve">My adjustment removes the incentive compensation included in the Test Year for </w:t>
      </w:r>
      <w:proofErr w:type="spellStart"/>
      <w:r>
        <w:t>PVNGS</w:t>
      </w:r>
      <w:proofErr w:type="spellEnd"/>
      <w:r>
        <w:t xml:space="preserve"> employees that is associated with</w:t>
      </w:r>
      <w:r w:rsidR="003F7EC3">
        <w:t xml:space="preserve"> </w:t>
      </w:r>
      <w:proofErr w:type="spellStart"/>
      <w:r w:rsidR="00322E34">
        <w:t>APS’s</w:t>
      </w:r>
      <w:proofErr w:type="spellEnd"/>
      <w:r w:rsidR="00322E34">
        <w:t xml:space="preserve"> </w:t>
      </w:r>
      <w:r w:rsidR="003F7EC3">
        <w:t>Company Earnings</w:t>
      </w:r>
      <w:r>
        <w:t xml:space="preserve">.  </w:t>
      </w:r>
      <w:proofErr w:type="spellStart"/>
      <w:r>
        <w:t>EPE</w:t>
      </w:r>
      <w:proofErr w:type="spellEnd"/>
      <w:r>
        <w:t xml:space="preserve"> </w:t>
      </w:r>
      <w:r w:rsidR="00622E42">
        <w:t>excludes incentive compensation for its own employees that is explicitly tied to financial performance from its requested cost of service,</w:t>
      </w:r>
      <w:r w:rsidR="00622E42">
        <w:rPr>
          <w:rStyle w:val="FootnoteReference"/>
        </w:rPr>
        <w:footnoteReference w:id="13"/>
      </w:r>
      <w:r>
        <w:t xml:space="preserve"> but does not make the corresponding adjustment for financially</w:t>
      </w:r>
      <w:r w:rsidR="00622E42">
        <w:t>-</w:t>
      </w:r>
      <w:r>
        <w:t xml:space="preserve">based incentive compensation for </w:t>
      </w:r>
      <w:proofErr w:type="spellStart"/>
      <w:r>
        <w:t>PVNGS</w:t>
      </w:r>
      <w:proofErr w:type="spellEnd"/>
      <w:r>
        <w:t xml:space="preserve"> employees.</w:t>
      </w:r>
      <w:r w:rsidR="00622E42">
        <w:rPr>
          <w:rStyle w:val="FootnoteReference"/>
        </w:rPr>
        <w:footnoteReference w:id="14"/>
      </w:r>
      <w:r>
        <w:t xml:space="preserve">  It is appropriate to consistently apply this approach to financially</w:t>
      </w:r>
      <w:r w:rsidR="00622E42">
        <w:t>-</w:t>
      </w:r>
      <w:r>
        <w:t xml:space="preserve">based incentive compensation allocated to </w:t>
      </w:r>
      <w:proofErr w:type="spellStart"/>
      <w:r>
        <w:t>EPE</w:t>
      </w:r>
      <w:proofErr w:type="spellEnd"/>
      <w:r>
        <w:t xml:space="preserve"> for </w:t>
      </w:r>
      <w:proofErr w:type="spellStart"/>
      <w:r>
        <w:t>PVNGS</w:t>
      </w:r>
      <w:proofErr w:type="spellEnd"/>
      <w:r>
        <w:t xml:space="preserve"> employees. </w:t>
      </w:r>
    </w:p>
    <w:p w14:paraId="42AE7FF8" w14:textId="2172BE22" w:rsidR="001006D1" w:rsidRDefault="001F639B" w:rsidP="00F1383A">
      <w:pPr>
        <w:pStyle w:val="BodyText"/>
      </w:pPr>
      <w:r>
        <w:t>The Commission has found that the benefits of financially</w:t>
      </w:r>
      <w:r w:rsidR="00361534">
        <w:t>-</w:t>
      </w:r>
      <w:r>
        <w:t>based incentive compensation “inure most immediately and predominantly to…shareholders, rather than electric customers.”</w:t>
      </w:r>
      <w:r>
        <w:rPr>
          <w:rStyle w:val="FootnoteReference"/>
        </w:rPr>
        <w:footnoteReference w:id="15"/>
      </w:r>
      <w:r>
        <w:t xml:space="preserve">  In the case of </w:t>
      </w:r>
      <w:proofErr w:type="spellStart"/>
      <w:r>
        <w:t>PVNGS</w:t>
      </w:r>
      <w:proofErr w:type="spellEnd"/>
      <w:r>
        <w:t xml:space="preserve"> incentive compensation tied to</w:t>
      </w:r>
      <w:r w:rsidR="003F7EC3">
        <w:t xml:space="preserve"> Company Earnings</w:t>
      </w:r>
      <w:r>
        <w:t xml:space="preserve">, it is </w:t>
      </w:r>
      <w:proofErr w:type="spellStart"/>
      <w:r>
        <w:t>A</w:t>
      </w:r>
      <w:r w:rsidR="00322E34">
        <w:t>PS’s</w:t>
      </w:r>
      <w:proofErr w:type="spellEnd"/>
      <w:r w:rsidR="00322E34">
        <w:t xml:space="preserve"> </w:t>
      </w:r>
      <w:r>
        <w:t xml:space="preserve">shareholders who are the primary beneficiaries, not </w:t>
      </w:r>
      <w:proofErr w:type="spellStart"/>
      <w:r>
        <w:t>EPE’s</w:t>
      </w:r>
      <w:proofErr w:type="spellEnd"/>
      <w:r>
        <w:t xml:space="preserve"> ratepayers. </w:t>
      </w:r>
    </w:p>
    <w:p w14:paraId="3B701C72" w14:textId="77777777" w:rsidR="001006D1" w:rsidRDefault="001F639B">
      <w:pPr>
        <w:pStyle w:val="TestimonyQ"/>
      </w:pPr>
      <w:r>
        <w:lastRenderedPageBreak/>
        <w:t>WHAT IS YOUR RECOMMENDATION TO THE COMMISSION ON THIS ISSUE?</w:t>
      </w:r>
    </w:p>
    <w:p w14:paraId="5700029A" w14:textId="2BEDD572" w:rsidR="001006D1" w:rsidRPr="008A76A9" w:rsidRDefault="001F639B">
      <w:pPr>
        <w:pStyle w:val="ANSWER"/>
      </w:pPr>
      <w:r>
        <w:t xml:space="preserve">I </w:t>
      </w:r>
      <w:r w:rsidRPr="008A76A9">
        <w:t xml:space="preserve">recommend that the </w:t>
      </w:r>
      <w:proofErr w:type="spellStart"/>
      <w:r w:rsidRPr="008A76A9">
        <w:t>PVNGS</w:t>
      </w:r>
      <w:proofErr w:type="spellEnd"/>
      <w:r w:rsidRPr="008A76A9">
        <w:t xml:space="preserve"> incentive compensation expense associated with </w:t>
      </w:r>
      <w:r w:rsidR="00361534" w:rsidRPr="008A76A9">
        <w:t xml:space="preserve">APS </w:t>
      </w:r>
      <w:r w:rsidR="003F7EC3" w:rsidRPr="008A76A9">
        <w:t xml:space="preserve">Company Earnings </w:t>
      </w:r>
      <w:r w:rsidRPr="008A76A9">
        <w:t>be removed from the revenue requirement.</w:t>
      </w:r>
      <w:r w:rsidRPr="008A76A9">
        <w:rPr>
          <w:rStyle w:val="FootnoteReference"/>
        </w:rPr>
        <w:footnoteReference w:id="16"/>
      </w:r>
      <w:r w:rsidRPr="008A76A9">
        <w:t xml:space="preserve">  This adjustment reduces the Texas revenue requirement by approximately</w:t>
      </w:r>
      <w:r w:rsidR="003F7EC3" w:rsidRPr="008A76A9">
        <w:t xml:space="preserve"> </w:t>
      </w:r>
      <w:r w:rsidR="003F7EC3" w:rsidRPr="008A76A9">
        <w:rPr>
          <w:b/>
          <w:bCs/>
        </w:rPr>
        <w:t>$128,494</w:t>
      </w:r>
      <w:r w:rsidR="003F7EC3" w:rsidRPr="008A76A9">
        <w:t xml:space="preserve"> </w:t>
      </w:r>
      <w:r w:rsidRPr="008A76A9">
        <w:t>and is presented in Exhibit KCH-</w:t>
      </w:r>
      <w:r w:rsidR="00012655" w:rsidRPr="008A76A9">
        <w:t>3</w:t>
      </w:r>
      <w:r w:rsidRPr="008A76A9">
        <w:t xml:space="preserve">. </w:t>
      </w:r>
    </w:p>
    <w:p w14:paraId="1B09D9E2" w14:textId="77777777" w:rsidR="001006D1" w:rsidRDefault="001F639B" w:rsidP="00BB70B6">
      <w:pPr>
        <w:pStyle w:val="Heading3"/>
      </w:pPr>
      <w:bookmarkStart w:id="10" w:name="_Toc85714080"/>
      <w:r>
        <w:t>Revolving Credit Facility Commitment Fees</w:t>
      </w:r>
      <w:bookmarkEnd w:id="10"/>
    </w:p>
    <w:p w14:paraId="63F87928" w14:textId="77777777" w:rsidR="001006D1" w:rsidRDefault="001F639B">
      <w:pPr>
        <w:pStyle w:val="TestimonyQ"/>
      </w:pPr>
      <w:r>
        <w:t xml:space="preserve">WHAT IS </w:t>
      </w:r>
      <w:proofErr w:type="spellStart"/>
      <w:r>
        <w:t>EPE</w:t>
      </w:r>
      <w:proofErr w:type="spellEnd"/>
      <w:r>
        <w:t xml:space="preserve"> PROPOSING REGARDING ITS REVOLVING CREDIT FACILITY (“</w:t>
      </w:r>
      <w:proofErr w:type="spellStart"/>
      <w:r>
        <w:t>RCF</w:t>
      </w:r>
      <w:proofErr w:type="spellEnd"/>
      <w:r>
        <w:t>”) FEES?</w:t>
      </w:r>
    </w:p>
    <w:p w14:paraId="4E4CED5D" w14:textId="5F9C6EB5" w:rsidR="001006D1" w:rsidRDefault="001F639B" w:rsidP="009F6AC1">
      <w:pPr>
        <w:pStyle w:val="ANSWER"/>
      </w:pPr>
      <w:proofErr w:type="spellStart"/>
      <w:r>
        <w:t>EPE</w:t>
      </w:r>
      <w:proofErr w:type="spellEnd"/>
      <w:r>
        <w:t xml:space="preserve"> </w:t>
      </w:r>
      <w:r w:rsidR="007F156F">
        <w:t>maintains a $400 million</w:t>
      </w:r>
      <w:r>
        <w:t xml:space="preserve"> </w:t>
      </w:r>
      <w:proofErr w:type="spellStart"/>
      <w:r>
        <w:t>RCF</w:t>
      </w:r>
      <w:proofErr w:type="spellEnd"/>
      <w:r>
        <w:t xml:space="preserve"> to fund nuclear fuel purchases, working capital requirements, and general corporate purposes.</w:t>
      </w:r>
      <w:r>
        <w:rPr>
          <w:rStyle w:val="FootnoteReference"/>
        </w:rPr>
        <w:footnoteReference w:id="17"/>
      </w:r>
      <w:r>
        <w:t xml:space="preserve">   </w:t>
      </w:r>
      <w:r w:rsidR="007F156F" w:rsidRPr="007F156F">
        <w:t xml:space="preserve">Since nuclear fuel costs are recovered in the Fixed Fuel Factor, </w:t>
      </w:r>
      <w:proofErr w:type="spellStart"/>
      <w:r w:rsidR="007F156F" w:rsidRPr="007F156F">
        <w:t>EPE</w:t>
      </w:r>
      <w:proofErr w:type="spellEnd"/>
      <w:r w:rsidR="007F156F" w:rsidRPr="007F156F">
        <w:t xml:space="preserve"> does not seek to include associated commitment fees in its non-fuel revenue requirement.  </w:t>
      </w:r>
      <w:proofErr w:type="spellStart"/>
      <w:r w:rsidR="007F156F">
        <w:t>EPE</w:t>
      </w:r>
      <w:proofErr w:type="spellEnd"/>
      <w:r w:rsidR="007F156F">
        <w:t xml:space="preserve"> proposes to include </w:t>
      </w:r>
      <w:r>
        <w:t>$5</w:t>
      </w:r>
      <w:r w:rsidR="007F156F">
        <w:t>71,211</w:t>
      </w:r>
      <w:r>
        <w:t xml:space="preserve"> in Total Company </w:t>
      </w:r>
      <w:proofErr w:type="spellStart"/>
      <w:r>
        <w:t>RCF</w:t>
      </w:r>
      <w:proofErr w:type="spellEnd"/>
      <w:r>
        <w:t xml:space="preserve"> commitment fees in its revenue requirement, which the Company asserts is the portion of commitment fees associated with </w:t>
      </w:r>
      <w:r w:rsidR="007F156F">
        <w:t xml:space="preserve">non-nuclear fuel </w:t>
      </w:r>
      <w:r>
        <w:t>purposes.</w:t>
      </w:r>
      <w:r>
        <w:rPr>
          <w:rStyle w:val="FootnoteReference"/>
        </w:rPr>
        <w:footnoteReference w:id="18"/>
      </w:r>
      <w:r>
        <w:t xml:space="preserve"> </w:t>
      </w:r>
    </w:p>
    <w:p w14:paraId="08148EC8" w14:textId="2BCA7D07" w:rsidR="001006D1" w:rsidRDefault="007F156F" w:rsidP="00F1383A">
      <w:pPr>
        <w:pStyle w:val="BodyText"/>
      </w:pPr>
      <w:proofErr w:type="spellStart"/>
      <w:r>
        <w:t>EPE</w:t>
      </w:r>
      <w:proofErr w:type="spellEnd"/>
      <w:r>
        <w:t xml:space="preserve"> is charged a</w:t>
      </w:r>
      <w:r w:rsidR="001F639B">
        <w:t xml:space="preserve"> commitment fee </w:t>
      </w:r>
      <w:r>
        <w:t>of 0.175% on the unused amount of the commitment.</w:t>
      </w:r>
      <w:r w:rsidR="00CA04F9">
        <w:rPr>
          <w:rStyle w:val="FootnoteReference"/>
        </w:rPr>
        <w:footnoteReference w:id="19"/>
      </w:r>
      <w:r>
        <w:t xml:space="preserve">  </w:t>
      </w:r>
      <w:r w:rsidR="001F639B">
        <w:t xml:space="preserve"> </w:t>
      </w:r>
      <w:proofErr w:type="spellStart"/>
      <w:r w:rsidR="001F639B">
        <w:t>EPE’s</w:t>
      </w:r>
      <w:proofErr w:type="spellEnd"/>
      <w:r w:rsidR="001F639B">
        <w:t xml:space="preserve"> </w:t>
      </w:r>
      <w:proofErr w:type="spellStart"/>
      <w:r w:rsidR="001F639B">
        <w:t>RCF</w:t>
      </w:r>
      <w:proofErr w:type="spellEnd"/>
      <w:r w:rsidR="001F639B">
        <w:t xml:space="preserve"> commitment fees thus represent a cost associated with </w:t>
      </w:r>
      <w:proofErr w:type="spellStart"/>
      <w:r w:rsidR="001F639B">
        <w:t>EPE’s</w:t>
      </w:r>
      <w:proofErr w:type="spellEnd"/>
      <w:r w:rsidR="001F639B">
        <w:t xml:space="preserve"> use of short-term debt to finance its operations.</w:t>
      </w:r>
      <w:r w:rsidR="00322E34">
        <w:t xml:space="preserve">  </w:t>
      </w:r>
      <w:proofErr w:type="spellStart"/>
      <w:r w:rsidR="001F639B">
        <w:t>EPE</w:t>
      </w:r>
      <w:proofErr w:type="spellEnd"/>
      <w:r w:rsidR="001F639B">
        <w:t xml:space="preserve"> calculates its proposed </w:t>
      </w:r>
      <w:proofErr w:type="spellStart"/>
      <w:r w:rsidR="001F639B">
        <w:t>RCF</w:t>
      </w:r>
      <w:proofErr w:type="spellEnd"/>
      <w:r w:rsidR="001F639B">
        <w:t xml:space="preserve"> commitment fee by subtracting the highest level of borrowing for nuclear fuel during the </w:t>
      </w:r>
      <w:r w:rsidR="00EA6D6A">
        <w:t xml:space="preserve">Test Year </w:t>
      </w:r>
      <w:r w:rsidR="001F639B">
        <w:t>from its $</w:t>
      </w:r>
      <w:r>
        <w:t>400</w:t>
      </w:r>
      <w:r w:rsidR="001F639B">
        <w:t xml:space="preserve"> million </w:t>
      </w:r>
      <w:proofErr w:type="spellStart"/>
      <w:r w:rsidR="001F639B">
        <w:t>RCF</w:t>
      </w:r>
      <w:proofErr w:type="spellEnd"/>
      <w:r w:rsidR="001F639B">
        <w:t xml:space="preserve">, and multiplying the difference by 0.175%. </w:t>
      </w:r>
    </w:p>
    <w:p w14:paraId="17B63D0A" w14:textId="77777777" w:rsidR="001006D1" w:rsidRDefault="001F639B">
      <w:pPr>
        <w:pStyle w:val="TestimonyQ"/>
      </w:pPr>
      <w:r>
        <w:t xml:space="preserve">YOU MENTIONED THAT THE </w:t>
      </w:r>
      <w:proofErr w:type="spellStart"/>
      <w:r>
        <w:t>RCF</w:t>
      </w:r>
      <w:proofErr w:type="spellEnd"/>
      <w:r>
        <w:t xml:space="preserve"> COMMITMENT FEES ARE ASSOCIATED WITH </w:t>
      </w:r>
      <w:proofErr w:type="spellStart"/>
      <w:r>
        <w:t>EPE’S</w:t>
      </w:r>
      <w:proofErr w:type="spellEnd"/>
      <w:r>
        <w:t xml:space="preserve"> USE OF SHORT-TERM DEBT.  DOES </w:t>
      </w:r>
      <w:proofErr w:type="spellStart"/>
      <w:r>
        <w:t>EPE</w:t>
      </w:r>
      <w:proofErr w:type="spellEnd"/>
      <w:r>
        <w:t xml:space="preserve"> PROPOSE TO INCLUDE SHORT-TERM DEBT IN ITS CAPITAL STRUCTURE FOR RATEMAKING PURPOSES?</w:t>
      </w:r>
    </w:p>
    <w:p w14:paraId="45506CD1" w14:textId="26226B6B" w:rsidR="001006D1" w:rsidRDefault="001F639B">
      <w:pPr>
        <w:pStyle w:val="ANSWER"/>
      </w:pPr>
      <w:r>
        <w:lastRenderedPageBreak/>
        <w:t xml:space="preserve">No.  </w:t>
      </w:r>
      <w:proofErr w:type="spellStart"/>
      <w:r>
        <w:t>EPE’s</w:t>
      </w:r>
      <w:proofErr w:type="spellEnd"/>
      <w:r>
        <w:t xml:space="preserve"> proposed capital structure that is used to determine the weighted average cost of capital does not include short-term debt, which has a lower interest rate than long-term debt.  The weighted average interest rate on </w:t>
      </w:r>
      <w:proofErr w:type="spellStart"/>
      <w:r>
        <w:t>EPE’s</w:t>
      </w:r>
      <w:proofErr w:type="spellEnd"/>
      <w:r>
        <w:t xml:space="preserve"> </w:t>
      </w:r>
      <w:proofErr w:type="spellStart"/>
      <w:r>
        <w:t>RCF</w:t>
      </w:r>
      <w:proofErr w:type="spellEnd"/>
      <w:r>
        <w:t xml:space="preserve"> notes payable outstanding as of </w:t>
      </w:r>
      <w:r w:rsidR="00DB0B89">
        <w:t>December 31, 2020</w:t>
      </w:r>
      <w:r>
        <w:t xml:space="preserve"> was</w:t>
      </w:r>
      <w:r w:rsidR="00357C9E">
        <w:t xml:space="preserve"> approximately</w:t>
      </w:r>
      <w:r>
        <w:t xml:space="preserve"> </w:t>
      </w:r>
      <w:r w:rsidR="00357C9E">
        <w:t>1.41</w:t>
      </w:r>
      <w:r>
        <w:t>%,</w:t>
      </w:r>
      <w:r>
        <w:rPr>
          <w:rStyle w:val="FootnoteReference"/>
        </w:rPr>
        <w:footnoteReference w:id="20"/>
      </w:r>
      <w:r>
        <w:t xml:space="preserve"> whereas </w:t>
      </w:r>
      <w:proofErr w:type="spellStart"/>
      <w:r>
        <w:t>EPE’s</w:t>
      </w:r>
      <w:proofErr w:type="spellEnd"/>
      <w:r>
        <w:t xml:space="preserve"> proposed cost of long-term debt is 5.</w:t>
      </w:r>
      <w:r w:rsidR="00DB0B89">
        <w:t>576</w:t>
      </w:r>
      <w:r>
        <w:t>%.</w:t>
      </w:r>
      <w:r w:rsidR="00DB0B89">
        <w:t xml:space="preserve">  </w:t>
      </w:r>
      <w:proofErr w:type="spellStart"/>
      <w:r>
        <w:t>EPE’s</w:t>
      </w:r>
      <w:proofErr w:type="spellEnd"/>
      <w:r>
        <w:t xml:space="preserve"> proposed </w:t>
      </w:r>
      <w:r w:rsidR="00EA6D6A">
        <w:t>return on</w:t>
      </w:r>
      <w:r>
        <w:t xml:space="preserve"> equity is 10.</w:t>
      </w:r>
      <w:r w:rsidR="00DB0B89">
        <w:t>3</w:t>
      </w:r>
      <w:r w:rsidR="00361534">
        <w:t>0</w:t>
      </w:r>
      <w:r>
        <w:t>%.</w:t>
      </w:r>
      <w:r w:rsidR="00DB0B89">
        <w:rPr>
          <w:rStyle w:val="FootnoteReference"/>
        </w:rPr>
        <w:footnoteReference w:id="21"/>
      </w:r>
      <w:r w:rsidR="00DB0B89">
        <w:t xml:space="preserve">  </w:t>
      </w:r>
      <w:r>
        <w:t xml:space="preserve">Thus, while </w:t>
      </w:r>
      <w:proofErr w:type="spellStart"/>
      <w:r>
        <w:t>EPE</w:t>
      </w:r>
      <w:proofErr w:type="spellEnd"/>
      <w:r>
        <w:t xml:space="preserve"> actually uses short-term debt as a source of capital, it </w:t>
      </w:r>
      <w:r w:rsidR="00DB0B89">
        <w:t xml:space="preserve">proposes </w:t>
      </w:r>
      <w:r>
        <w:t xml:space="preserve">that its </w:t>
      </w:r>
      <w:r w:rsidR="00DB0B89">
        <w:t xml:space="preserve">cost of capital </w:t>
      </w:r>
      <w:r>
        <w:t>be set as if it only used long-term debt and equity to finance its operations, both of which are far more expensive to ratepayers than short-term debt.</w:t>
      </w:r>
      <w:r w:rsidR="00357C9E">
        <w:t xml:space="preserve">  </w:t>
      </w:r>
    </w:p>
    <w:p w14:paraId="396B7301" w14:textId="77777777" w:rsidR="001006D1" w:rsidRDefault="001F639B">
      <w:pPr>
        <w:pStyle w:val="TestimonyQ"/>
      </w:pPr>
      <w:r>
        <w:t xml:space="preserve">WHAT IS YOUR RECOMMENDATION TO THE COMMISSION REGARDING THE INCLUSION OF </w:t>
      </w:r>
      <w:proofErr w:type="spellStart"/>
      <w:r>
        <w:t>RCF</w:t>
      </w:r>
      <w:proofErr w:type="spellEnd"/>
      <w:r>
        <w:t xml:space="preserve"> COMMITMENT FEES IN RATES? </w:t>
      </w:r>
    </w:p>
    <w:p w14:paraId="6A27C879" w14:textId="6517632A" w:rsidR="001006D1" w:rsidRPr="00357C9E" w:rsidRDefault="001F639B">
      <w:pPr>
        <w:pStyle w:val="ANSWER"/>
      </w:pPr>
      <w:r>
        <w:t xml:space="preserve">I recommend that the </w:t>
      </w:r>
      <w:proofErr w:type="spellStart"/>
      <w:r>
        <w:t>RCF</w:t>
      </w:r>
      <w:proofErr w:type="spellEnd"/>
      <w:r>
        <w:t xml:space="preserve"> commitment fees not be included in </w:t>
      </w:r>
      <w:proofErr w:type="spellStart"/>
      <w:r>
        <w:t>EPE’s</w:t>
      </w:r>
      <w:proofErr w:type="spellEnd"/>
      <w:r>
        <w:t xml:space="preserve"> revenue requirement.  Since customers are not afforded the benefit of </w:t>
      </w:r>
      <w:proofErr w:type="spellStart"/>
      <w:r>
        <w:t>EPE’s</w:t>
      </w:r>
      <w:proofErr w:type="spellEnd"/>
      <w:r>
        <w:t xml:space="preserve"> use of lower-cost short-term debt financing in the capital structure used for ratemaking, it is not appropriate for customers to fund the </w:t>
      </w:r>
      <w:proofErr w:type="spellStart"/>
      <w:r>
        <w:t>RCF</w:t>
      </w:r>
      <w:proofErr w:type="spellEnd"/>
      <w:r>
        <w:t xml:space="preserve"> commitment fees.  Stated differently, if </w:t>
      </w:r>
      <w:proofErr w:type="spellStart"/>
      <w:r>
        <w:t>EPE’s</w:t>
      </w:r>
      <w:proofErr w:type="spellEnd"/>
      <w:r>
        <w:t xml:space="preserve"> use of short-term debt is ignored for purposes of setting a ratemaking capital structure, it would not be appropriate to turn around </w:t>
      </w:r>
      <w:r w:rsidRPr="00357C9E">
        <w:t xml:space="preserve">and charge ratepayers for fees associated with that short-term debt.  Accordingly, I recommend that the Company’s </w:t>
      </w:r>
      <w:proofErr w:type="spellStart"/>
      <w:r w:rsidRPr="00357C9E">
        <w:t>RCF</w:t>
      </w:r>
      <w:proofErr w:type="spellEnd"/>
      <w:r w:rsidRPr="00357C9E">
        <w:t xml:space="preserve"> commitment fees be removed from the revenue requirement.  This adjustment reduces the Texas revenue requirement by approximately </w:t>
      </w:r>
      <w:r w:rsidRPr="00357C9E">
        <w:rPr>
          <w:b/>
          <w:bCs/>
        </w:rPr>
        <w:t>$</w:t>
      </w:r>
      <w:r w:rsidR="00DB0B89" w:rsidRPr="00357C9E">
        <w:rPr>
          <w:b/>
          <w:bCs/>
        </w:rPr>
        <w:t>468,164</w:t>
      </w:r>
      <w:r w:rsidR="00DB0B89" w:rsidRPr="00357C9E">
        <w:t xml:space="preserve"> </w:t>
      </w:r>
      <w:r w:rsidRPr="00357C9E">
        <w:t>and is presented in Exhibit KCH-</w:t>
      </w:r>
      <w:r w:rsidR="00012655" w:rsidRPr="00357C9E">
        <w:t>4</w:t>
      </w:r>
      <w:r w:rsidRPr="00357C9E">
        <w:t>.</w:t>
      </w:r>
    </w:p>
    <w:p w14:paraId="039A60D9" w14:textId="77777777" w:rsidR="001006D1" w:rsidRPr="007F0F85" w:rsidRDefault="001F639B" w:rsidP="00BB70B6">
      <w:pPr>
        <w:pStyle w:val="Heading3"/>
      </w:pPr>
      <w:bookmarkStart w:id="11" w:name="_Toc85714081"/>
      <w:r w:rsidRPr="007F0F85">
        <w:t>Accumulated Depreciation – Annualization Adjustment</w:t>
      </w:r>
      <w:bookmarkEnd w:id="11"/>
    </w:p>
    <w:p w14:paraId="54821310" w14:textId="77777777" w:rsidR="001006D1" w:rsidRDefault="001F639B">
      <w:pPr>
        <w:pStyle w:val="TestimonyQ"/>
      </w:pPr>
      <w:r>
        <w:t>PLEASE EXPLAIN YOUR ANNUALIZATION ADJUSTMENT TO ACCUMULATED DEPRECIATION.</w:t>
      </w:r>
    </w:p>
    <w:p w14:paraId="1D22296D" w14:textId="3C0CFE34" w:rsidR="001006D1" w:rsidRDefault="001F639B" w:rsidP="00C257FE">
      <w:pPr>
        <w:pStyle w:val="ANSWER"/>
      </w:pPr>
      <w:proofErr w:type="spellStart"/>
      <w:r>
        <w:t>EPE</w:t>
      </w:r>
      <w:proofErr w:type="spellEnd"/>
      <w:r>
        <w:t xml:space="preserve"> makes annualization adjustments to depreciation expense for new plant added during the </w:t>
      </w:r>
      <w:r w:rsidR="00C257FE">
        <w:t>T</w:t>
      </w:r>
      <w:r>
        <w:t xml:space="preserve">est </w:t>
      </w:r>
      <w:r w:rsidR="00C257FE">
        <w:t>Y</w:t>
      </w:r>
      <w:r w:rsidR="00DB0B89">
        <w:t>ear</w:t>
      </w:r>
      <w:r>
        <w:t>.</w:t>
      </w:r>
      <w:r w:rsidR="00DB0B89">
        <w:rPr>
          <w:rStyle w:val="FootnoteReference"/>
        </w:rPr>
        <w:footnoteReference w:id="22"/>
      </w:r>
      <w:r>
        <w:t xml:space="preserve">  That is, the Company adjusts depreciation expense to reflect the forward-</w:t>
      </w:r>
      <w:r>
        <w:lastRenderedPageBreak/>
        <w:t xml:space="preserve">going depreciation expense associated with new investments rather than using the depreciation expense actually booked during the </w:t>
      </w:r>
      <w:r w:rsidR="00EA6D6A">
        <w:t>T</w:t>
      </w:r>
      <w:r>
        <w:t xml:space="preserve">est </w:t>
      </w:r>
      <w:r w:rsidR="00EA6D6A">
        <w:t>Y</w:t>
      </w:r>
      <w:r w:rsidR="00DB0B89">
        <w:t>ear</w:t>
      </w:r>
      <w:r>
        <w:t xml:space="preserve"> end</w:t>
      </w:r>
      <w:r w:rsidR="00DB0B89">
        <w:t>ed December 31, 2020.</w:t>
      </w:r>
      <w:r>
        <w:t xml:space="preserve"> </w:t>
      </w:r>
    </w:p>
    <w:p w14:paraId="3FB70C5D" w14:textId="006064E9" w:rsidR="001006D1" w:rsidRDefault="001F639B" w:rsidP="00F1383A">
      <w:pPr>
        <w:pStyle w:val="BodyText"/>
      </w:pPr>
      <w:r>
        <w:t xml:space="preserve">In making its annualization adjustments for depreciation, </w:t>
      </w:r>
      <w:proofErr w:type="spellStart"/>
      <w:r>
        <w:t>EPE</w:t>
      </w:r>
      <w:proofErr w:type="spellEnd"/>
      <w:r>
        <w:t xml:space="preserve"> does </w:t>
      </w:r>
      <w:r>
        <w:rPr>
          <w:u w:val="single"/>
        </w:rPr>
        <w:t>not</w:t>
      </w:r>
      <w:r>
        <w:t xml:space="preserve"> make a corresponding annualization adjustment for accumulated depreciation.</w:t>
      </w:r>
      <w:r w:rsidR="00C75FD8">
        <w:rPr>
          <w:rStyle w:val="FootnoteReference"/>
        </w:rPr>
        <w:footnoteReference w:id="23"/>
      </w:r>
      <w:r>
        <w:t xml:space="preserve">  That is, the adjusted depreciation expense that </w:t>
      </w:r>
      <w:proofErr w:type="spellStart"/>
      <w:r>
        <w:t>EPE</w:t>
      </w:r>
      <w:proofErr w:type="spellEnd"/>
      <w:r>
        <w:t xml:space="preserve"> proposes to recover is not accompanied by an annualized increase in accumulated depreciation to be offset against rate base.  The absence of such a corresponding adjustment produces a mismatch for ratemaking purposes.  </w:t>
      </w:r>
      <w:proofErr w:type="spellStart"/>
      <w:r>
        <w:t>EPE’s</w:t>
      </w:r>
      <w:proofErr w:type="spellEnd"/>
      <w:r>
        <w:t xml:space="preserve"> approach is asymmetric.  It provides the Company with the revenue benefit of the annualized depreciation expense without recognizing any corresponding reduction in the rate base against which the new plant is being depreciated.  My adjustment corrects this mismatch by increasing accumulated depreciation for ratemaking purposes by the amount of the incremental depreciation expense added in </w:t>
      </w:r>
      <w:proofErr w:type="spellStart"/>
      <w:r>
        <w:t>EPE’s</w:t>
      </w:r>
      <w:proofErr w:type="spellEnd"/>
      <w:r>
        <w:t xml:space="preserve"> annualization adjustment.  This approach </w:t>
      </w:r>
      <w:r w:rsidR="00C75FD8">
        <w:t>represents</w:t>
      </w:r>
      <w:r>
        <w:t xml:space="preserve"> the increase in accumulated depreciation that corresponds to </w:t>
      </w:r>
      <w:proofErr w:type="spellStart"/>
      <w:r>
        <w:t>EPE’s</w:t>
      </w:r>
      <w:proofErr w:type="spellEnd"/>
      <w:r>
        <w:t xml:space="preserve"> annualized depreciation expense adjustment. </w:t>
      </w:r>
    </w:p>
    <w:p w14:paraId="6C622EC3" w14:textId="77777777" w:rsidR="001006D1" w:rsidRDefault="001F639B">
      <w:pPr>
        <w:pStyle w:val="TestimonyQ"/>
      </w:pPr>
      <w:r>
        <w:t>WHAT IS YOUR RECOMMENDATION TO THE COMMISSION ON THIS ISSUE?</w:t>
      </w:r>
    </w:p>
    <w:p w14:paraId="0DA8ED06" w14:textId="54AF53A6" w:rsidR="001006D1" w:rsidRPr="00357C9E" w:rsidRDefault="001F639B">
      <w:pPr>
        <w:pStyle w:val="ANSWER"/>
      </w:pPr>
      <w:r>
        <w:t xml:space="preserve">I </w:t>
      </w:r>
      <w:r w:rsidR="00963AC0">
        <w:t xml:space="preserve">recommend </w:t>
      </w:r>
      <w:r>
        <w:t xml:space="preserve">that the Commission adopt my annualization adjustment for accumulated depreciation to be consistent with the </w:t>
      </w:r>
      <w:r w:rsidRPr="00357C9E">
        <w:t xml:space="preserve">matching principle in ratemaking.  My recommendation reflects a higher level of accumulated depreciation as an attendant impact of </w:t>
      </w:r>
      <w:proofErr w:type="spellStart"/>
      <w:r w:rsidRPr="00357C9E">
        <w:t>EPE’s</w:t>
      </w:r>
      <w:proofErr w:type="spellEnd"/>
      <w:r w:rsidRPr="00357C9E">
        <w:t xml:space="preserve"> proposed depreciation expense annualization adjustment.  This adjustment reduces the Texas revenue requirement by approximately </w:t>
      </w:r>
      <w:r w:rsidRPr="00357C9E">
        <w:rPr>
          <w:b/>
        </w:rPr>
        <w:t>$</w:t>
      </w:r>
      <w:r w:rsidR="00C75FD8" w:rsidRPr="00357C9E">
        <w:rPr>
          <w:b/>
        </w:rPr>
        <w:t>120,935</w:t>
      </w:r>
      <w:r w:rsidRPr="00357C9E">
        <w:t xml:space="preserve"> at </w:t>
      </w:r>
      <w:proofErr w:type="spellStart"/>
      <w:r w:rsidRPr="00357C9E">
        <w:t>EPE’s</w:t>
      </w:r>
      <w:proofErr w:type="spellEnd"/>
      <w:r w:rsidRPr="00357C9E">
        <w:t xml:space="preserve"> requested rate of return and is presented in Exhibit KCH-</w:t>
      </w:r>
      <w:r w:rsidR="00012655" w:rsidRPr="00357C9E">
        <w:t>5</w:t>
      </w:r>
      <w:r w:rsidRPr="00357C9E">
        <w:t>.</w:t>
      </w:r>
    </w:p>
    <w:p w14:paraId="168E10AC" w14:textId="77777777" w:rsidR="00523FF5" w:rsidRDefault="00523FF5" w:rsidP="00523FF5">
      <w:pPr>
        <w:suppressLineNumbers/>
        <w:rPr>
          <w:b/>
          <w:u w:val="single"/>
        </w:rPr>
      </w:pPr>
      <w:bookmarkStart w:id="12" w:name="_Toc85714082"/>
      <w:r>
        <w:br w:type="page"/>
      </w:r>
    </w:p>
    <w:p w14:paraId="36BB3077" w14:textId="7B0C00F7" w:rsidR="001006D1" w:rsidRDefault="00A871AE" w:rsidP="00BB70B6">
      <w:pPr>
        <w:pStyle w:val="Heading1"/>
      </w:pPr>
      <w:r>
        <w:lastRenderedPageBreak/>
        <w:t xml:space="preserve">JURISDICTIONAL </w:t>
      </w:r>
      <w:r w:rsidR="001F639B">
        <w:t>C</w:t>
      </w:r>
      <w:r w:rsidR="00376DE9">
        <w:t xml:space="preserve">OST </w:t>
      </w:r>
      <w:r w:rsidR="001F639B">
        <w:t>ALLOCATION</w:t>
      </w:r>
      <w:bookmarkEnd w:id="12"/>
    </w:p>
    <w:p w14:paraId="463F0957" w14:textId="77777777" w:rsidR="001006D1" w:rsidRDefault="001F639B" w:rsidP="00BB70B6">
      <w:pPr>
        <w:pStyle w:val="Heading3"/>
      </w:pPr>
      <w:bookmarkStart w:id="13" w:name="_Toc85714083"/>
      <w:r>
        <w:t xml:space="preserve">Summary of </w:t>
      </w:r>
      <w:proofErr w:type="spellStart"/>
      <w:r>
        <w:t>EPE’s</w:t>
      </w:r>
      <w:proofErr w:type="spellEnd"/>
      <w:r>
        <w:t xml:space="preserve"> Methods</w:t>
      </w:r>
      <w:bookmarkEnd w:id="13"/>
    </w:p>
    <w:p w14:paraId="7B562CB6" w14:textId="07DB1635" w:rsidR="001006D1" w:rsidRDefault="001F639B">
      <w:pPr>
        <w:pStyle w:val="TestimonyQ"/>
        <w:rPr>
          <w:u w:val="single"/>
        </w:rPr>
      </w:pPr>
      <w:bookmarkStart w:id="14" w:name="_Hlk84949590"/>
      <w:r>
        <w:t xml:space="preserve">Please summarize the methods used by </w:t>
      </w:r>
      <w:proofErr w:type="spellStart"/>
      <w:r>
        <w:t>EPE</w:t>
      </w:r>
      <w:proofErr w:type="spellEnd"/>
      <w:r>
        <w:t xml:space="preserve"> to allocate </w:t>
      </w:r>
      <w:r w:rsidR="001C68D9">
        <w:t xml:space="preserve">PRODUCTION </w:t>
      </w:r>
      <w:r>
        <w:t>costs to the Texas jurisdiction.</w:t>
      </w:r>
    </w:p>
    <w:p w14:paraId="33FE47B7" w14:textId="3A8AFA57" w:rsidR="001006D1" w:rsidRPr="00770A40" w:rsidRDefault="001F639B" w:rsidP="00C257FE">
      <w:pPr>
        <w:pStyle w:val="ANSWER"/>
      </w:pPr>
      <w:r>
        <w:t>As explained in the Direct Testimony of</w:t>
      </w:r>
      <w:r w:rsidR="006B3142">
        <w:t xml:space="preserve"> Adrian Hernandez</w:t>
      </w:r>
      <w:r>
        <w:t xml:space="preserve">, </w:t>
      </w:r>
      <w:proofErr w:type="spellStart"/>
      <w:r>
        <w:t>EPE</w:t>
      </w:r>
      <w:proofErr w:type="spellEnd"/>
      <w:r>
        <w:t xml:space="preserve"> utilizes the</w:t>
      </w:r>
      <w:r w:rsidR="00770A40">
        <w:t xml:space="preserve"> </w:t>
      </w:r>
      <w:proofErr w:type="spellStart"/>
      <w:r>
        <w:t>A&amp;E</w:t>
      </w:r>
      <w:proofErr w:type="spellEnd"/>
      <w:r>
        <w:t xml:space="preserve">/4CP method </w:t>
      </w:r>
      <w:r w:rsidR="000A5BBA">
        <w:t xml:space="preserve">to allocate its non-peaking </w:t>
      </w:r>
      <w:r>
        <w:t xml:space="preserve">production </w:t>
      </w:r>
      <w:r w:rsidR="000A5BBA">
        <w:t xml:space="preserve">demand </w:t>
      </w:r>
      <w:r>
        <w:t xml:space="preserve">costs to the state of Texas.  This method uses </w:t>
      </w:r>
      <w:proofErr w:type="spellStart"/>
      <w:r>
        <w:t>EPE’s</w:t>
      </w:r>
      <w:proofErr w:type="spellEnd"/>
      <w:r>
        <w:t xml:space="preserve"> adjusted system coincident peaks during the summer months of June through September.</w:t>
      </w:r>
      <w:r>
        <w:rPr>
          <w:rStyle w:val="FootnoteReference"/>
        </w:rPr>
        <w:footnoteReference w:id="24"/>
      </w:r>
      <w:r>
        <w:t xml:space="preserve">  </w:t>
      </w:r>
      <w:r w:rsidR="000A5BBA">
        <w:t>In this case</w:t>
      </w:r>
      <w:r>
        <w:t xml:space="preserve">, </w:t>
      </w:r>
      <w:proofErr w:type="spellStart"/>
      <w:r w:rsidR="000A5BBA">
        <w:t>EPE</w:t>
      </w:r>
      <w:proofErr w:type="spellEnd"/>
      <w:r w:rsidR="000A5BBA">
        <w:t xml:space="preserve"> calculated the load factor used to weight </w:t>
      </w:r>
      <w:r>
        <w:t xml:space="preserve">each jurisdiction’s proportion of the system </w:t>
      </w:r>
      <w:bookmarkEnd w:id="14"/>
      <w:r>
        <w:t xml:space="preserve">average firm demand (or energy) using </w:t>
      </w:r>
      <w:r w:rsidR="0050649B">
        <w:t xml:space="preserve">the average of the </w:t>
      </w:r>
      <w:r>
        <w:t xml:space="preserve">adjusted firm </w:t>
      </w:r>
      <w:r w:rsidR="000A5BBA" w:rsidRPr="00C97BFC">
        <w:rPr>
          <w:u w:val="single"/>
        </w:rPr>
        <w:t>4CP</w:t>
      </w:r>
      <w:r w:rsidR="000A5BBA">
        <w:t xml:space="preserve"> </w:t>
      </w:r>
      <w:r w:rsidR="00770A40">
        <w:t>demand</w:t>
      </w:r>
      <w:r w:rsidR="0050649B">
        <w:t>s</w:t>
      </w:r>
      <w:r w:rsidRPr="00770A40">
        <w:t xml:space="preserve">, rather than the </w:t>
      </w:r>
      <w:r w:rsidR="000A5BBA">
        <w:t xml:space="preserve">actual </w:t>
      </w:r>
      <w:r w:rsidRPr="00770A40">
        <w:t>highest coincident firm peak</w:t>
      </w:r>
      <w:r w:rsidR="00770A40">
        <w:t xml:space="preserve"> </w:t>
      </w:r>
      <w:r w:rsidR="000A5BBA">
        <w:t xml:space="preserve">(1CP) </w:t>
      </w:r>
      <w:r w:rsidR="00770A40">
        <w:t>demand</w:t>
      </w:r>
      <w:r w:rsidRPr="00770A40">
        <w:t>.</w:t>
      </w:r>
      <w:r w:rsidR="000A5BBA">
        <w:rPr>
          <w:rStyle w:val="FootnoteReference"/>
        </w:rPr>
        <w:footnoteReference w:id="25"/>
      </w:r>
      <w:r w:rsidRPr="00770A40">
        <w:t xml:space="preserve">    </w:t>
      </w:r>
    </w:p>
    <w:p w14:paraId="3D120C3A" w14:textId="2E57A821" w:rsidR="001006D1" w:rsidRDefault="001F639B" w:rsidP="00F1383A">
      <w:pPr>
        <w:pStyle w:val="BodyText"/>
      </w:pPr>
      <w:r>
        <w:t xml:space="preserve">Next, each jurisdiction’s “excess” firm demand is weighted by 1 minus the load factor, where excess demand represents the difference between each jurisdiction’s proportion of system 4CP demand and average demand.  </w:t>
      </w:r>
      <w:proofErr w:type="spellStart"/>
      <w:r>
        <w:t>EPE</w:t>
      </w:r>
      <w:proofErr w:type="spellEnd"/>
      <w:r>
        <w:t xml:space="preserve"> has made adjustments to both the 4CP demand and energy components that are intended to remove the output of solar facilities directly assigned to the Texas and New Mexico jurisdictions from the jurisdictional allocation of costs.</w:t>
      </w:r>
    </w:p>
    <w:p w14:paraId="73D9BFAB" w14:textId="14BE5996" w:rsidR="000A5BBA" w:rsidRDefault="001C68D9" w:rsidP="00C257FE">
      <w:pPr>
        <w:pStyle w:val="ANSWER"/>
        <w:numPr>
          <w:ilvl w:val="0"/>
          <w:numId w:val="0"/>
        </w:numPr>
        <w:ind w:left="720"/>
      </w:pPr>
      <w:r>
        <w:t xml:space="preserve">In this case, </w:t>
      </w:r>
      <w:proofErr w:type="spellStart"/>
      <w:r>
        <w:t>EPE</w:t>
      </w:r>
      <w:proofErr w:type="spellEnd"/>
      <w:r>
        <w:t xml:space="preserve"> proposes to change the method used to allocate the cost of its peaking units (M</w:t>
      </w:r>
      <w:r w:rsidRPr="001C68D9">
        <w:t>ontana Power Station Units 1-4, Rio Grande Generating Station Unit 9, and Copper Generating Station)</w:t>
      </w:r>
      <w:r>
        <w:t xml:space="preserve"> from the </w:t>
      </w:r>
      <w:proofErr w:type="spellStart"/>
      <w:r w:rsidRPr="001C68D9">
        <w:t>A&amp;E</w:t>
      </w:r>
      <w:proofErr w:type="spellEnd"/>
      <w:r w:rsidRPr="001C68D9">
        <w:t>/4CP</w:t>
      </w:r>
      <w:r>
        <w:t xml:space="preserve"> method to the 4CP method. </w:t>
      </w:r>
      <w:r>
        <w:rPr>
          <w:rStyle w:val="FootnoteReference"/>
        </w:rPr>
        <w:footnoteReference w:id="26"/>
      </w:r>
    </w:p>
    <w:p w14:paraId="4B5640F9" w14:textId="2039B921" w:rsidR="006B7234" w:rsidRDefault="006B7234" w:rsidP="00F1383A">
      <w:pPr>
        <w:pStyle w:val="BodyText"/>
        <w:rPr>
          <w:bCs/>
        </w:rPr>
      </w:pPr>
      <w:proofErr w:type="spellStart"/>
      <w:r>
        <w:t>EPE</w:t>
      </w:r>
      <w:proofErr w:type="spellEnd"/>
      <w:r>
        <w:t xml:space="preserve"> allocates production </w:t>
      </w:r>
      <w:proofErr w:type="spellStart"/>
      <w:r>
        <w:t>O&amp;M</w:t>
      </w:r>
      <w:proofErr w:type="spellEnd"/>
      <w:r>
        <w:t xml:space="preserve"> expenses</w:t>
      </w:r>
      <w:r w:rsidR="002A2CD7">
        <w:t xml:space="preserve"> </w:t>
      </w:r>
      <w:r>
        <w:t xml:space="preserve">using a </w:t>
      </w:r>
      <w:r w:rsidR="002A2CD7">
        <w:t xml:space="preserve">combination of </w:t>
      </w:r>
      <w:proofErr w:type="spellStart"/>
      <w:r w:rsidR="002A2CD7" w:rsidRPr="002A2CD7">
        <w:t>A&amp;E</w:t>
      </w:r>
      <w:proofErr w:type="spellEnd"/>
      <w:r w:rsidR="002A2CD7" w:rsidRPr="002A2CD7">
        <w:t>/4CP</w:t>
      </w:r>
      <w:r w:rsidR="002A2CD7">
        <w:t xml:space="preserve">, 4CP, energy, </w:t>
      </w:r>
      <w:r>
        <w:t xml:space="preserve">direct assignment, </w:t>
      </w:r>
      <w:r w:rsidR="002A2CD7">
        <w:t xml:space="preserve">and uses an </w:t>
      </w:r>
      <w:proofErr w:type="spellStart"/>
      <w:r w:rsidR="002A2CD7">
        <w:t>A&amp;E</w:t>
      </w:r>
      <w:proofErr w:type="spellEnd"/>
      <w:r w:rsidR="002A2CD7">
        <w:t xml:space="preserve">/12CP allocator for </w:t>
      </w:r>
      <w:r>
        <w:t>Generation System Control and Load Dispatching (Account 556).</w:t>
      </w:r>
      <w:r w:rsidR="00BC1392">
        <w:rPr>
          <w:rStyle w:val="FootnoteReference"/>
        </w:rPr>
        <w:footnoteReference w:id="27"/>
      </w:r>
      <w:r>
        <w:t xml:space="preserve">  </w:t>
      </w:r>
    </w:p>
    <w:p w14:paraId="7BE0E984" w14:textId="7F89965A" w:rsidR="006B7234" w:rsidRPr="002A2CD7" w:rsidRDefault="006B7234" w:rsidP="009F6AC1">
      <w:pPr>
        <w:pStyle w:val="TestimonyQ"/>
        <w:rPr>
          <w:u w:val="single"/>
        </w:rPr>
      </w:pPr>
      <w:r>
        <w:lastRenderedPageBreak/>
        <w:t xml:space="preserve">Please summarize the methods used by </w:t>
      </w:r>
      <w:proofErr w:type="spellStart"/>
      <w:r>
        <w:t>EPE</w:t>
      </w:r>
      <w:proofErr w:type="spellEnd"/>
      <w:r>
        <w:t xml:space="preserve"> </w:t>
      </w:r>
      <w:r w:rsidR="001156AF">
        <w:t xml:space="preserve">to </w:t>
      </w:r>
      <w:r w:rsidR="002A2CD7">
        <w:t xml:space="preserve">ALLOCATE TRANSMISSION, DISTRIBUTION, AND OTHER </w:t>
      </w:r>
      <w:r>
        <w:t>costs to the Texas jurisdiction.</w:t>
      </w:r>
    </w:p>
    <w:p w14:paraId="786BD140" w14:textId="2C1578BB" w:rsidR="001006D1" w:rsidRDefault="001F639B" w:rsidP="00F1383A">
      <w:pPr>
        <w:pStyle w:val="BodyText"/>
        <w:rPr>
          <w:bCs/>
        </w:rPr>
      </w:pPr>
      <w:r>
        <w:t xml:space="preserve">To allocate transmission plant costs to the state of Texas, </w:t>
      </w:r>
      <w:proofErr w:type="spellStart"/>
      <w:r>
        <w:t>EPE</w:t>
      </w:r>
      <w:proofErr w:type="spellEnd"/>
      <w:r>
        <w:t xml:space="preserve"> utilizes a 4CP demand method, based on each jurisdiction’s proportion of system firm coincident peak demand for the months June through September.</w:t>
      </w:r>
      <w:r>
        <w:rPr>
          <w:rStyle w:val="FootnoteReference"/>
        </w:rPr>
        <w:footnoteReference w:id="28"/>
      </w:r>
    </w:p>
    <w:p w14:paraId="5B478FB1" w14:textId="72C6FB25" w:rsidR="001006D1" w:rsidRDefault="001F639B" w:rsidP="00247754">
      <w:pPr>
        <w:pStyle w:val="BodyText"/>
      </w:pPr>
      <w:proofErr w:type="spellStart"/>
      <w:r>
        <w:t>EPE</w:t>
      </w:r>
      <w:proofErr w:type="spellEnd"/>
      <w:r>
        <w:t xml:space="preserve"> directly assigns distribution plant between Texas and New Mexico based on geographical location and allocates general plant using a labor allocator based on payroll costs for the production, transmission, distribution and customer service functions.</w:t>
      </w:r>
      <w:r>
        <w:rPr>
          <w:rStyle w:val="FootnoteReference"/>
        </w:rPr>
        <w:footnoteReference w:id="29"/>
      </w:r>
    </w:p>
    <w:p w14:paraId="49412C3A" w14:textId="14A4EEFD" w:rsidR="00BC1392" w:rsidRDefault="00BB6BA5">
      <w:pPr>
        <w:pStyle w:val="BodyText"/>
      </w:pPr>
      <w:proofErr w:type="spellStart"/>
      <w:r>
        <w:t>EPE</w:t>
      </w:r>
      <w:proofErr w:type="spellEnd"/>
      <w:r>
        <w:t xml:space="preserve"> allocates most </w:t>
      </w:r>
      <w:r w:rsidR="001F639B">
        <w:t xml:space="preserve">transmission </w:t>
      </w:r>
      <w:proofErr w:type="spellStart"/>
      <w:r w:rsidR="001F639B">
        <w:t>O&amp;M</w:t>
      </w:r>
      <w:proofErr w:type="spellEnd"/>
      <w:r w:rsidR="001F639B">
        <w:t xml:space="preserve"> expenses using the 4CP allocator, </w:t>
      </w:r>
      <w:r>
        <w:t>but</w:t>
      </w:r>
      <w:r w:rsidR="001F639B">
        <w:t xml:space="preserve"> </w:t>
      </w:r>
      <w:r>
        <w:t xml:space="preserve">uses </w:t>
      </w:r>
      <w:r w:rsidR="001F639B">
        <w:rPr>
          <w:bCs/>
        </w:rPr>
        <w:t>a 12CP method to allocate Transmission Load Dispatching costs (Account 561).</w:t>
      </w:r>
      <w:r w:rsidR="001F639B">
        <w:rPr>
          <w:rStyle w:val="FootnoteReference"/>
        </w:rPr>
        <w:footnoteReference w:id="30"/>
      </w:r>
      <w:r w:rsidR="001F639B">
        <w:t xml:space="preserve">  Distribution </w:t>
      </w:r>
      <w:proofErr w:type="spellStart"/>
      <w:r w:rsidR="001F639B">
        <w:t>O&amp;M</w:t>
      </w:r>
      <w:proofErr w:type="spellEnd"/>
      <w:r w:rsidR="001F639B">
        <w:t xml:space="preserve"> expenses are allocated based on the jurisdictional distribution plant or a composite allocator.  Texas customer </w:t>
      </w:r>
      <w:proofErr w:type="spellStart"/>
      <w:r w:rsidR="001F639B">
        <w:t>O&amp;M</w:t>
      </w:r>
      <w:proofErr w:type="spellEnd"/>
      <w:r w:rsidR="001F639B">
        <w:t xml:space="preserve"> expenses are determined based on a combination of direct assignment</w:t>
      </w:r>
      <w:r w:rsidR="00BC1392">
        <w:t>,</w:t>
      </w:r>
      <w:r w:rsidR="001F639B">
        <w:t xml:space="preserve"> composite allocators, </w:t>
      </w:r>
      <w:r w:rsidR="00C257FE">
        <w:t xml:space="preserve">and </w:t>
      </w:r>
      <w:r w:rsidR="001F639B">
        <w:t>customer-based allocators</w:t>
      </w:r>
      <w:r w:rsidR="00BC1392">
        <w:t>. Uncollectible accounts are allocated based on firm revenues excluding Other Public Authority and Large Commercial &amp; Industrial classes.</w:t>
      </w:r>
      <w:r w:rsidR="0042530A">
        <w:rPr>
          <w:rStyle w:val="FootnoteReference"/>
        </w:rPr>
        <w:footnoteReference w:id="31"/>
      </w:r>
      <w:r w:rsidR="00BC1392">
        <w:t xml:space="preserve"> </w:t>
      </w:r>
      <w:r w:rsidR="001F639B">
        <w:t xml:space="preserve"> </w:t>
      </w:r>
    </w:p>
    <w:p w14:paraId="76A6DA2B" w14:textId="47E07ACE" w:rsidR="001006D1" w:rsidRDefault="001F639B">
      <w:pPr>
        <w:pStyle w:val="BodyText"/>
      </w:pPr>
      <w:r>
        <w:t>Many Administrative and General (“</w:t>
      </w:r>
      <w:proofErr w:type="spellStart"/>
      <w:r>
        <w:t>A&amp;G</w:t>
      </w:r>
      <w:proofErr w:type="spellEnd"/>
      <w:r>
        <w:t xml:space="preserve">”) expenses are allocated using a labor allocator.  Some </w:t>
      </w:r>
      <w:proofErr w:type="spellStart"/>
      <w:r>
        <w:t>A&amp;G</w:t>
      </w:r>
      <w:proofErr w:type="spellEnd"/>
      <w:r>
        <w:t xml:space="preserve"> expenses are allocated consistent with their associated function, while others are directly assigned.</w:t>
      </w:r>
      <w:r>
        <w:rPr>
          <w:rStyle w:val="FootnoteReference"/>
        </w:rPr>
        <w:footnoteReference w:id="32"/>
      </w:r>
      <w:r>
        <w:t xml:space="preserve">  Depreciation and amortization expense is allocated consistent with the underlying plant.</w:t>
      </w:r>
      <w:r>
        <w:rPr>
          <w:rStyle w:val="FootnoteReference"/>
        </w:rPr>
        <w:footnoteReference w:id="33"/>
      </w:r>
      <w:r>
        <w:t xml:space="preserve">  </w:t>
      </w:r>
    </w:p>
    <w:p w14:paraId="114972C2" w14:textId="77777777" w:rsidR="00523FF5" w:rsidRDefault="00523FF5" w:rsidP="00523FF5">
      <w:pPr>
        <w:suppressLineNumbers/>
        <w:rPr>
          <w:b/>
          <w:u w:val="single"/>
        </w:rPr>
      </w:pPr>
      <w:bookmarkStart w:id="15" w:name="_Toc85714084"/>
      <w:r>
        <w:br w:type="page"/>
      </w:r>
    </w:p>
    <w:p w14:paraId="4509C3CA" w14:textId="0E489359" w:rsidR="00DE5123" w:rsidRDefault="00DE5123" w:rsidP="00DE5123">
      <w:pPr>
        <w:pStyle w:val="Heading3"/>
      </w:pPr>
      <w:r>
        <w:lastRenderedPageBreak/>
        <w:t>Solar Plant Capacity Attribution</w:t>
      </w:r>
      <w:bookmarkEnd w:id="15"/>
      <w:r>
        <w:t xml:space="preserve"> </w:t>
      </w:r>
    </w:p>
    <w:p w14:paraId="22A8FB3F" w14:textId="77777777" w:rsidR="00DE5123" w:rsidRDefault="00DE5123" w:rsidP="00DE5123">
      <w:pPr>
        <w:pStyle w:val="TestimonyQ"/>
      </w:pPr>
      <w:r>
        <w:t xml:space="preserve">HOW does </w:t>
      </w:r>
      <w:proofErr w:type="spellStart"/>
      <w:r>
        <w:t>epe</w:t>
      </w:r>
      <w:proofErr w:type="spellEnd"/>
      <w:r>
        <w:t xml:space="preserve"> treat THE OUTPUT FROM THE SOLAR PLANTS DIRECTLY ASSIGNED TO NEW MEXICO AND TEXAS IN THE JURISDICTIONal COST ALLOCATION PROCESS? </w:t>
      </w:r>
    </w:p>
    <w:p w14:paraId="47BB51B7" w14:textId="48E597FB" w:rsidR="00DE5123" w:rsidRDefault="00DE5123" w:rsidP="00DE5123">
      <w:pPr>
        <w:pStyle w:val="ANSWER"/>
      </w:pPr>
      <w:r>
        <w:t xml:space="preserve">For jurisdictional cost allocation, </w:t>
      </w:r>
      <w:proofErr w:type="spellStart"/>
      <w:r>
        <w:t>EPE</w:t>
      </w:r>
      <w:proofErr w:type="spellEnd"/>
      <w:r>
        <w:t xml:space="preserve"> removes the generation from the directly-assigned solar plants from each state’s load used in the </w:t>
      </w:r>
      <w:proofErr w:type="spellStart"/>
      <w:r>
        <w:t>A&amp;E</w:t>
      </w:r>
      <w:proofErr w:type="spellEnd"/>
      <w:r>
        <w:t xml:space="preserve">/4CP allocator, its proposed 4CP generation allocator for peaking units, and its energy allocators.  </w:t>
      </w:r>
      <w:proofErr w:type="spellStart"/>
      <w:r w:rsidRPr="00781FB7">
        <w:t>EPE’s</w:t>
      </w:r>
      <w:proofErr w:type="spellEnd"/>
      <w:r w:rsidRPr="00781FB7">
        <w:t xml:space="preserve"> bases its 4CP adjustment on the output of a subset of the directly-assigned solar plants during the summer monthly peak hours</w:t>
      </w:r>
      <w:r>
        <w:t>.</w:t>
      </w:r>
      <w:r>
        <w:rPr>
          <w:rStyle w:val="FootnoteReference"/>
        </w:rPr>
        <w:footnoteReference w:id="34"/>
      </w:r>
      <w:r w:rsidRPr="00781FB7">
        <w:t xml:space="preserve">  </w:t>
      </w:r>
      <w:proofErr w:type="spellStart"/>
      <w:r>
        <w:t>EPE’s</w:t>
      </w:r>
      <w:proofErr w:type="spellEnd"/>
      <w:r>
        <w:t xml:space="preserve"> adjustment</w:t>
      </w:r>
      <w:r w:rsidRPr="00F40DEC">
        <w:t xml:space="preserve"> reduces the 4CP for New Mexico by approximately 68% of its directly-assigned solar capacity and the 4CP for Texas by approximately 70% of its directly-assigned solar capacity.</w:t>
      </w:r>
      <w:r>
        <w:rPr>
          <w:rStyle w:val="FootnoteReference"/>
        </w:rPr>
        <w:footnoteReference w:id="35"/>
      </w:r>
      <w:r w:rsidRPr="00F40DEC">
        <w:t xml:space="preserve">   </w:t>
      </w:r>
      <w:r>
        <w:t xml:space="preserve">This adjustment reduces New Mexico’s 4CP demand by approximately 35.5 MW and reduces Texas’s 4CP demand by approximately 120 kW.  The combined effect of these reductions is to </w:t>
      </w:r>
      <w:r w:rsidR="00B93F99">
        <w:t>allocate</w:t>
      </w:r>
      <w:r>
        <w:t xml:space="preserve"> more costs to Texas ratepayers.</w:t>
      </w:r>
      <w:r>
        <w:rPr>
          <w:rStyle w:val="FootnoteReference"/>
        </w:rPr>
        <w:footnoteReference w:id="36"/>
      </w:r>
      <w:r>
        <w:t xml:space="preserve"> </w:t>
      </w:r>
    </w:p>
    <w:p w14:paraId="783AAB4D" w14:textId="2B0460EF" w:rsidR="00DE5123" w:rsidRPr="00C97BFC" w:rsidRDefault="00DE5123" w:rsidP="00DE5123">
      <w:pPr>
        <w:pStyle w:val="TestimonyQ"/>
      </w:pPr>
      <w:r w:rsidRPr="00C97BFC">
        <w:t xml:space="preserve">IS THE COMPANY’S APPROACH CONSISTENT WITH THE METHOD </w:t>
      </w:r>
      <w:r w:rsidR="00B96A6D">
        <w:t xml:space="preserve">IT USES </w:t>
      </w:r>
      <w:r w:rsidRPr="00C97BFC">
        <w:t xml:space="preserve">TO IMPUTE CAPACITY COSTS TO THE NEWMAN 10 AND MACHO SPRINGS SOLAR RESOURCES? </w:t>
      </w:r>
    </w:p>
    <w:p w14:paraId="7DCA904C" w14:textId="77777777" w:rsidR="00DE5123" w:rsidRDefault="00DE5123" w:rsidP="00DE5123">
      <w:pPr>
        <w:pStyle w:val="ANSWER"/>
      </w:pPr>
      <w:r w:rsidRPr="00C97BFC">
        <w:t xml:space="preserve">No.  As explained in the Direct Testimony of David C. Hawkins, </w:t>
      </w:r>
      <w:proofErr w:type="spellStart"/>
      <w:r w:rsidRPr="00C97BFC">
        <w:t>EPE’s</w:t>
      </w:r>
      <w:proofErr w:type="spellEnd"/>
      <w:r w:rsidRPr="00C97BFC">
        <w:t xml:space="preserve"> imputed capacity rate</w:t>
      </w:r>
      <w:r>
        <w:t>s</w:t>
      </w:r>
      <w:r w:rsidRPr="00C97BFC">
        <w:t xml:space="preserve"> for </w:t>
      </w:r>
      <w:r>
        <w:t xml:space="preserve">the </w:t>
      </w:r>
      <w:r w:rsidRPr="00C97BFC">
        <w:t>Newman 10</w:t>
      </w:r>
      <w:r>
        <w:t xml:space="preserve"> and Macho Springs </w:t>
      </w:r>
      <w:proofErr w:type="spellStart"/>
      <w:r>
        <w:t>PPAs</w:t>
      </w:r>
      <w:proofErr w:type="spellEnd"/>
      <w:r>
        <w:t xml:space="preserve"> are $2.33/kW-month </w:t>
      </w:r>
      <w:r w:rsidRPr="00C97BFC">
        <w:t xml:space="preserve">and </w:t>
      </w:r>
      <w:r>
        <w:t>$2.35/kW-month, respectively.</w:t>
      </w:r>
      <w:r>
        <w:rPr>
          <w:rStyle w:val="FootnoteReference"/>
        </w:rPr>
        <w:footnoteReference w:id="37"/>
      </w:r>
      <w:r>
        <w:t xml:space="preserve">  These rates were calculated by </w:t>
      </w:r>
      <w:proofErr w:type="spellStart"/>
      <w:r>
        <w:t>EPE</w:t>
      </w:r>
      <w:proofErr w:type="spellEnd"/>
      <w:r>
        <w:t xml:space="preserve"> in its last general rate case, Docket No. 46831, based on the </w:t>
      </w:r>
      <w:r w:rsidRPr="00C97BFC">
        <w:t>energy production output percentages (</w:t>
      </w:r>
      <w:r>
        <w:t>i.e.,</w:t>
      </w:r>
      <w:r w:rsidRPr="00C97BFC">
        <w:t xml:space="preserve"> </w:t>
      </w:r>
      <w:r>
        <w:t xml:space="preserve">annual </w:t>
      </w:r>
      <w:r w:rsidRPr="00C97BFC">
        <w:t xml:space="preserve">capacity </w:t>
      </w:r>
      <w:r w:rsidRPr="00C97BFC">
        <w:lastRenderedPageBreak/>
        <w:t xml:space="preserve">factors) </w:t>
      </w:r>
      <w:r>
        <w:t xml:space="preserve">for Newman 10 and Macho Springs, of </w:t>
      </w:r>
      <w:r w:rsidRPr="005121DC">
        <w:t>32.3%</w:t>
      </w:r>
      <w:r>
        <w:t xml:space="preserve"> </w:t>
      </w:r>
      <w:r w:rsidRPr="005121DC">
        <w:t>and 32.6%, respectively</w:t>
      </w:r>
      <w:r>
        <w:t>.</w:t>
      </w:r>
      <w:r>
        <w:rPr>
          <w:rStyle w:val="FootnoteReference"/>
        </w:rPr>
        <w:footnoteReference w:id="38"/>
      </w:r>
      <w:r>
        <w:t xml:space="preserve"> </w:t>
      </w:r>
      <w:r w:rsidRPr="007A3236" w:rsidDel="005121DC">
        <w:t xml:space="preserve"> </w:t>
      </w:r>
      <w:r w:rsidRPr="00C97BFC">
        <w:t xml:space="preserve">This is </w:t>
      </w:r>
      <w:r>
        <w:t xml:space="preserve">approximately half the solar plant </w:t>
      </w:r>
      <w:r w:rsidRPr="00C97BFC">
        <w:t xml:space="preserve">capacity level </w:t>
      </w:r>
      <w:proofErr w:type="spellStart"/>
      <w:r w:rsidRPr="00C97BFC">
        <w:t>EPE</w:t>
      </w:r>
      <w:proofErr w:type="spellEnd"/>
      <w:r w:rsidRPr="00C97BFC">
        <w:t xml:space="preserve"> uses in its jurisdictional allocation.</w:t>
      </w:r>
      <w:r>
        <w:rPr>
          <w:rStyle w:val="FootnoteReference"/>
        </w:rPr>
        <w:footnoteReference w:id="39"/>
      </w:r>
    </w:p>
    <w:p w14:paraId="5F0EA007" w14:textId="77777777" w:rsidR="00DE5123" w:rsidRDefault="00DE5123" w:rsidP="00DE5123">
      <w:pPr>
        <w:pStyle w:val="ANSWER"/>
        <w:numPr>
          <w:ilvl w:val="0"/>
          <w:numId w:val="0"/>
        </w:numPr>
        <w:ind w:left="720"/>
      </w:pPr>
      <w:r w:rsidRPr="00C97BFC">
        <w:t>To calculate the</w:t>
      </w:r>
      <w:r>
        <w:t xml:space="preserve"> Newman 10 and Macho Springs</w:t>
      </w:r>
      <w:r w:rsidRPr="00C97BFC">
        <w:t xml:space="preserve"> imputed capacity rates, </w:t>
      </w:r>
      <w:proofErr w:type="spellStart"/>
      <w:r w:rsidRPr="00C97BFC">
        <w:t>EPE</w:t>
      </w:r>
      <w:proofErr w:type="spellEnd"/>
      <w:r w:rsidRPr="00C97BFC">
        <w:t xml:space="preserve"> </w:t>
      </w:r>
      <w:r>
        <w:t>started</w:t>
      </w:r>
      <w:r w:rsidRPr="00C97BFC">
        <w:t xml:space="preserve"> with the </w:t>
      </w:r>
      <w:proofErr w:type="spellStart"/>
      <w:r w:rsidRPr="00C97BFC">
        <w:t>WSPP</w:t>
      </w:r>
      <w:proofErr w:type="spellEnd"/>
      <w:r w:rsidRPr="00C97BFC">
        <w:t xml:space="preserve"> (formerly known as Western Systems Power Pool) Agreement capacity rate of $7.32</w:t>
      </w:r>
      <w:r>
        <w:t>/</w:t>
      </w:r>
      <w:r w:rsidRPr="00C97BFC">
        <w:t>kW</w:t>
      </w:r>
      <w:r>
        <w:t>-m</w:t>
      </w:r>
      <w:r w:rsidRPr="00C97BFC">
        <w:t xml:space="preserve">onth.  </w:t>
      </w:r>
      <w:proofErr w:type="spellStart"/>
      <w:r w:rsidRPr="00C97BFC">
        <w:t>EPE</w:t>
      </w:r>
      <w:proofErr w:type="spellEnd"/>
      <w:r w:rsidRPr="00C97BFC">
        <w:t xml:space="preserve"> then discount</w:t>
      </w:r>
      <w:r>
        <w:t>ed</w:t>
      </w:r>
      <w:r w:rsidRPr="00C97BFC">
        <w:t xml:space="preserve"> this rate for the additional ancillary services attributable to an intermittent resource to arrive at an adjusted rate of $7.20/kW-month.  To this rate</w:t>
      </w:r>
      <w:r>
        <w:t>,</w:t>
      </w:r>
      <w:r w:rsidRPr="00C97BFC">
        <w:t xml:space="preserve"> </w:t>
      </w:r>
      <w:proofErr w:type="spellStart"/>
      <w:r w:rsidRPr="00C97BFC">
        <w:t>EPE</w:t>
      </w:r>
      <w:proofErr w:type="spellEnd"/>
      <w:r w:rsidRPr="00C97BFC">
        <w:t xml:space="preserve"> applie</w:t>
      </w:r>
      <w:r>
        <w:t>d</w:t>
      </w:r>
      <w:r w:rsidRPr="00C97BFC">
        <w:t xml:space="preserve"> the energy production output percentages for Newman 10 and Macho Springs, resulting in </w:t>
      </w:r>
      <w:r>
        <w:t xml:space="preserve">the </w:t>
      </w:r>
      <w:r w:rsidRPr="00C97BFC">
        <w:t>imputed capacity rates of $2.33/kW-month and $2.35/kW-month</w:t>
      </w:r>
      <w:r>
        <w:t>, respectively.</w:t>
      </w:r>
      <w:r w:rsidRPr="00C97BFC">
        <w:rPr>
          <w:rStyle w:val="FootnoteReference"/>
        </w:rPr>
        <w:footnoteReference w:id="40"/>
      </w:r>
      <w:r w:rsidRPr="00C97BFC">
        <w:t xml:space="preserve"> </w:t>
      </w:r>
    </w:p>
    <w:p w14:paraId="4F1E2673" w14:textId="77777777" w:rsidR="00DE5123" w:rsidRPr="00C97BFC" w:rsidRDefault="00DE5123" w:rsidP="00DE5123">
      <w:pPr>
        <w:pStyle w:val="BodyText"/>
      </w:pPr>
      <w:r>
        <w:t xml:space="preserve">The imputed capacity portion of the Newman 10 and Macho Springs </w:t>
      </w:r>
      <w:proofErr w:type="spellStart"/>
      <w:r>
        <w:t>PPA</w:t>
      </w:r>
      <w:proofErr w:type="spellEnd"/>
      <w:r>
        <w:t xml:space="preserve"> costs is allocated using the </w:t>
      </w:r>
      <w:proofErr w:type="spellStart"/>
      <w:r>
        <w:t>A&amp;E</w:t>
      </w:r>
      <w:proofErr w:type="spellEnd"/>
      <w:r>
        <w:t xml:space="preserve">/4CP method and included in the base revenue requirement.  The remaining Texas-allocated portion of the </w:t>
      </w:r>
      <w:proofErr w:type="spellStart"/>
      <w:r>
        <w:t>PPA</w:t>
      </w:r>
      <w:proofErr w:type="spellEnd"/>
      <w:r>
        <w:t xml:space="preserve"> costs is deemed to be energy-related and included in the Fixed Fuel Factor.  </w:t>
      </w:r>
    </w:p>
    <w:p w14:paraId="52B5F7EC" w14:textId="77777777" w:rsidR="00DE5123" w:rsidRDefault="00DE5123" w:rsidP="00DE5123">
      <w:pPr>
        <w:pStyle w:val="TestimonyQ"/>
      </w:pPr>
      <w:r w:rsidRPr="002A4381">
        <w:t>WHAT IS YOUR RECOMMENDATION ON THIS ISSUE</w:t>
      </w:r>
      <w:r>
        <w:t xml:space="preserve">?  </w:t>
      </w:r>
    </w:p>
    <w:p w14:paraId="29F4F306" w14:textId="5C1A7386" w:rsidR="00DE5123" w:rsidRDefault="00DE5123" w:rsidP="00DE5123">
      <w:pPr>
        <w:pStyle w:val="ANSWER"/>
      </w:pPr>
      <w:r w:rsidRPr="002A4381">
        <w:t>I recommend reducing the adjustment to each jurisdiction’s 4CP demands used for jurisdictional allocation purposes to be consistent with the Test Year energy production output (i.e., annual capacity factor) for the state</w:t>
      </w:r>
      <w:r>
        <w:t>-</w:t>
      </w:r>
      <w:r w:rsidRPr="002A4381">
        <w:t xml:space="preserve">assigned solar plants.  This is consistent with the approach used by </w:t>
      </w:r>
      <w:proofErr w:type="spellStart"/>
      <w:r w:rsidRPr="002A4381">
        <w:t>EPE</w:t>
      </w:r>
      <w:proofErr w:type="spellEnd"/>
      <w:r>
        <w:t xml:space="preserve"> to impute capacity costs to the Newman 10 and Macho Springs solar resources. </w:t>
      </w:r>
      <w:r w:rsidR="003F5608">
        <w:t xml:space="preserve">This change decreases the reduction to New Mexico’s 4CP </w:t>
      </w:r>
      <w:r w:rsidR="003F5608" w:rsidRPr="00357C9E">
        <w:t xml:space="preserve">demand to 15.6 MW and to Texas’s 4CP demand to 28 kW to </w:t>
      </w:r>
      <w:r w:rsidR="00C13115" w:rsidRPr="00357C9E">
        <w:t xml:space="preserve">reflect </w:t>
      </w:r>
      <w:r w:rsidR="003F5608" w:rsidRPr="00357C9E">
        <w:t>solar plant capacity</w:t>
      </w:r>
      <w:r w:rsidR="00C13115" w:rsidRPr="00357C9E">
        <w:t xml:space="preserve">. </w:t>
      </w:r>
      <w:r w:rsidR="003F5608" w:rsidRPr="00357C9E">
        <w:t xml:space="preserve">  </w:t>
      </w:r>
      <w:r w:rsidRPr="00357C9E">
        <w:t xml:space="preserve">An illustration of the resulting jurisdictional </w:t>
      </w:r>
      <w:proofErr w:type="spellStart"/>
      <w:r w:rsidRPr="00357C9E">
        <w:t>A&amp;E</w:t>
      </w:r>
      <w:proofErr w:type="spellEnd"/>
      <w:r w:rsidRPr="00357C9E">
        <w:t>/4CP allocator is presented in Exhibit KCH-</w:t>
      </w:r>
      <w:r w:rsidR="00016D45" w:rsidRPr="00357C9E">
        <w:t>6</w:t>
      </w:r>
      <w:r w:rsidRPr="00357C9E">
        <w:t>.</w:t>
      </w:r>
      <w:r w:rsidRPr="00781FB7">
        <w:t xml:space="preserve">  </w:t>
      </w:r>
    </w:p>
    <w:p w14:paraId="09D3FDB7" w14:textId="023E1124" w:rsidR="00DE5123" w:rsidRDefault="00DE5123" w:rsidP="008A4139">
      <w:pPr>
        <w:pStyle w:val="BodyText"/>
      </w:pPr>
      <w:r>
        <w:t xml:space="preserve">In the alternative, I recommend that the capacity value imputed to the Newman 10 and Macho Springs resources be increased to be consistent with the approach </w:t>
      </w:r>
      <w:proofErr w:type="spellStart"/>
      <w:r>
        <w:t>EPE</w:t>
      </w:r>
      <w:proofErr w:type="spellEnd"/>
      <w:r>
        <w:t xml:space="preserve"> uses to </w:t>
      </w:r>
      <w:r>
        <w:lastRenderedPageBreak/>
        <w:t>attribute capacity to the directly-assigned solar resources in its jurisdictional cost allocation.  Based on the</w:t>
      </w:r>
      <w:r w:rsidR="00B96A6D">
        <w:t xml:space="preserve"> Test Year</w:t>
      </w:r>
      <w:r>
        <w:t xml:space="preserve"> output of these plants at the monthly summer peak times, Newman 10 operated at an average of 73.3% of its capacity and Macho Springs at 66.2% of its capacity.</w:t>
      </w:r>
      <w:r>
        <w:rPr>
          <w:rStyle w:val="FootnoteReference"/>
        </w:rPr>
        <w:footnoteReference w:id="41"/>
      </w:r>
      <w:r>
        <w:t xml:space="preserve">  This would correspond to a capacity value of approximately $5.28/kW-month for Newman 10 and $4.76/kW-month for Macho Springs using the adjusted </w:t>
      </w:r>
      <w:proofErr w:type="spellStart"/>
      <w:r>
        <w:t>WSPP</w:t>
      </w:r>
      <w:proofErr w:type="spellEnd"/>
      <w:r>
        <w:t xml:space="preserve"> capacity rate of $7.20/kW-month.</w:t>
      </w:r>
      <w:r w:rsidR="00B96A6D">
        <w:rPr>
          <w:rStyle w:val="FootnoteReference"/>
        </w:rPr>
        <w:footnoteReference w:id="42"/>
      </w:r>
      <w:r>
        <w:t xml:space="preserve">  Under this alternative, the base revenue requirement would be increased</w:t>
      </w:r>
      <w:r w:rsidR="003F5608">
        <w:t xml:space="preserve"> by approximately $1.8 million (Total Company) </w:t>
      </w:r>
      <w:r>
        <w:t>to reflect the incremental increase in imputed capacity for these resources,</w:t>
      </w:r>
      <w:r w:rsidR="004220DA">
        <w:rPr>
          <w:rStyle w:val="FootnoteReference"/>
        </w:rPr>
        <w:footnoteReference w:id="43"/>
      </w:r>
      <w:r>
        <w:t xml:space="preserve"> with </w:t>
      </w:r>
      <w:proofErr w:type="spellStart"/>
      <w:r>
        <w:t>EPE</w:t>
      </w:r>
      <w:proofErr w:type="spellEnd"/>
      <w:r>
        <w:t xml:space="preserve"> being ordered to remove the corresponding amount from its fuel costs on the effective date of the rates set in this case. </w:t>
      </w:r>
      <w:r w:rsidR="004220DA">
        <w:t xml:space="preserve"> Any increase in imputed capacity costs should be allocated based on </w:t>
      </w:r>
      <w:proofErr w:type="spellStart"/>
      <w:r w:rsidR="004220DA">
        <w:t>A&amp;E</w:t>
      </w:r>
      <w:proofErr w:type="spellEnd"/>
      <w:r w:rsidR="004220DA">
        <w:t xml:space="preserve">/4CP, consistent with the current treatment of imputed capacity costs. </w:t>
      </w:r>
    </w:p>
    <w:p w14:paraId="526D5A34" w14:textId="69554475" w:rsidR="008A4139" w:rsidRDefault="00A871AE" w:rsidP="00A871AE">
      <w:pPr>
        <w:pStyle w:val="Heading1"/>
      </w:pPr>
      <w:bookmarkStart w:id="16" w:name="_Toc85714085"/>
      <w:r>
        <w:t>CLASS COST ALLOCATION</w:t>
      </w:r>
      <w:bookmarkEnd w:id="16"/>
      <w:r>
        <w:t xml:space="preserve"> </w:t>
      </w:r>
    </w:p>
    <w:p w14:paraId="7A0C9EF3" w14:textId="77777777" w:rsidR="001006D1" w:rsidRDefault="001F639B">
      <w:pPr>
        <w:pStyle w:val="TestimonyQ"/>
      </w:pPr>
      <w:r>
        <w:t xml:space="preserve">Please summarize the methods used by </w:t>
      </w:r>
      <w:proofErr w:type="spellStart"/>
      <w:r>
        <w:t>epe</w:t>
      </w:r>
      <w:proofErr w:type="spellEnd"/>
      <w:r>
        <w:t xml:space="preserve"> to allocate costs among the texas rate classes.</w:t>
      </w:r>
    </w:p>
    <w:p w14:paraId="0434D6AC" w14:textId="022C23A5" w:rsidR="0042530A" w:rsidRPr="0042530A" w:rsidRDefault="001F639B">
      <w:pPr>
        <w:pStyle w:val="ANSWER"/>
      </w:pPr>
      <w:proofErr w:type="spellStart"/>
      <w:r>
        <w:t>EPE</w:t>
      </w:r>
      <w:proofErr w:type="spellEnd"/>
      <w:r>
        <w:t xml:space="preserve"> uses the </w:t>
      </w:r>
      <w:proofErr w:type="spellStart"/>
      <w:r>
        <w:t>A&amp;E</w:t>
      </w:r>
      <w:proofErr w:type="spellEnd"/>
      <w:r>
        <w:t xml:space="preserve">/4CP method for </w:t>
      </w:r>
      <w:r w:rsidR="0042530A">
        <w:t xml:space="preserve">non-peaking </w:t>
      </w:r>
      <w:r>
        <w:t xml:space="preserve">production plant costs, using a system load factor based </w:t>
      </w:r>
      <w:r w:rsidR="004444AE">
        <w:t xml:space="preserve">on </w:t>
      </w:r>
      <w:r w:rsidR="0042530A" w:rsidRPr="0042530A">
        <w:t>the average of the adjusted firm</w:t>
      </w:r>
      <w:r w:rsidR="0042530A">
        <w:t xml:space="preserve"> </w:t>
      </w:r>
      <w:r w:rsidR="0042530A" w:rsidRPr="0042530A">
        <w:t>4CP demands</w:t>
      </w:r>
      <w:r w:rsidR="0042530A">
        <w:t xml:space="preserve">.  The 4CP method is used for peaking generation costs and </w:t>
      </w:r>
      <w:r w:rsidR="0042530A" w:rsidRPr="0042530A">
        <w:t>transmission plant costs</w:t>
      </w:r>
      <w:r w:rsidR="0042530A">
        <w:rPr>
          <w:rStyle w:val="FootnoteReference"/>
          <w:vertAlign w:val="baseline"/>
        </w:rPr>
        <w:t>.</w:t>
      </w:r>
      <w:r w:rsidR="0042530A">
        <w:rPr>
          <w:rStyle w:val="FootnoteReference"/>
        </w:rPr>
        <w:footnoteReference w:id="44"/>
      </w:r>
    </w:p>
    <w:p w14:paraId="513ADB45" w14:textId="7BD5C61A" w:rsidR="001006D1" w:rsidRDefault="001F639B" w:rsidP="0042530A">
      <w:pPr>
        <w:pStyle w:val="ANSWER"/>
        <w:numPr>
          <w:ilvl w:val="0"/>
          <w:numId w:val="0"/>
        </w:numPr>
        <w:ind w:left="720"/>
      </w:pPr>
      <w:proofErr w:type="spellStart"/>
      <w:r>
        <w:t>EPE</w:t>
      </w:r>
      <w:proofErr w:type="spellEnd"/>
      <w:r>
        <w:t xml:space="preserve"> uses Maximum Class Demand to allocate substation and primary distribution feeder system costs and Non-Coincident Peak demand to allocate secondary voltage distribution feeders and line transformer costs.</w:t>
      </w:r>
      <w:r w:rsidR="0042530A">
        <w:rPr>
          <w:rStyle w:val="FootnoteReference"/>
        </w:rPr>
        <w:footnoteReference w:id="45"/>
      </w:r>
      <w:r>
        <w:t xml:space="preserve">  Services are allocated using a service drop investment allocator and meters are allocated using a weighted meter cost allocator.</w:t>
      </w:r>
      <w:r>
        <w:rPr>
          <w:rStyle w:val="FootnoteReference"/>
        </w:rPr>
        <w:footnoteReference w:id="46"/>
      </w:r>
      <w:r>
        <w:t xml:space="preserve">  General plant is allocated based on labor.</w:t>
      </w:r>
      <w:r>
        <w:rPr>
          <w:rStyle w:val="FootnoteReference"/>
        </w:rPr>
        <w:footnoteReference w:id="47"/>
      </w:r>
    </w:p>
    <w:p w14:paraId="59FABDCE" w14:textId="6D4F2626" w:rsidR="001006D1" w:rsidRDefault="0042530A" w:rsidP="00F1383A">
      <w:pPr>
        <w:pStyle w:val="BodyText"/>
      </w:pPr>
      <w:r>
        <w:lastRenderedPageBreak/>
        <w:t xml:space="preserve">Non-fuel </w:t>
      </w:r>
      <w:r w:rsidR="001F639B">
        <w:t xml:space="preserve">production </w:t>
      </w:r>
      <w:proofErr w:type="spellStart"/>
      <w:r w:rsidR="001F639B">
        <w:t>O&amp;M</w:t>
      </w:r>
      <w:proofErr w:type="spellEnd"/>
      <w:r w:rsidR="001F639B">
        <w:t xml:space="preserve"> expenses are allocated </w:t>
      </w:r>
      <w:r w:rsidR="00361534">
        <w:t xml:space="preserve">using </w:t>
      </w:r>
      <w:proofErr w:type="spellStart"/>
      <w:r w:rsidRPr="0042530A">
        <w:t>A&amp;E</w:t>
      </w:r>
      <w:proofErr w:type="spellEnd"/>
      <w:r w:rsidRPr="0042530A">
        <w:t>/4CP</w:t>
      </w:r>
      <w:r>
        <w:t xml:space="preserve">, 4CP, </w:t>
      </w:r>
      <w:r w:rsidR="00361534">
        <w:t>and</w:t>
      </w:r>
      <w:r>
        <w:t xml:space="preserve"> energy</w:t>
      </w:r>
      <w:r w:rsidR="00361534">
        <w:t xml:space="preserve"> allocators</w:t>
      </w:r>
      <w:r>
        <w:t xml:space="preserve">, </w:t>
      </w:r>
      <w:r w:rsidR="001F639B">
        <w:t xml:space="preserve">while </w:t>
      </w:r>
      <w:r w:rsidR="00361534">
        <w:t>Generation System Control and L</w:t>
      </w:r>
      <w:r w:rsidR="001F639B">
        <w:t xml:space="preserve">oad </w:t>
      </w:r>
      <w:r w:rsidR="00361534">
        <w:t>D</w:t>
      </w:r>
      <w:r w:rsidR="001F639B">
        <w:t xml:space="preserve">ispatching </w:t>
      </w:r>
      <w:r w:rsidR="00361534">
        <w:t>expense (Account 556) is</w:t>
      </w:r>
      <w:r w:rsidR="001F639B">
        <w:t xml:space="preserve"> allocated using an </w:t>
      </w:r>
      <w:proofErr w:type="spellStart"/>
      <w:r w:rsidR="001F639B">
        <w:t>A&amp;E</w:t>
      </w:r>
      <w:proofErr w:type="spellEnd"/>
      <w:r w:rsidR="001F639B">
        <w:t>/12CP method.</w:t>
      </w:r>
      <w:r w:rsidR="00A0594E">
        <w:rPr>
          <w:rStyle w:val="FootnoteReference"/>
        </w:rPr>
        <w:footnoteReference w:id="48"/>
      </w:r>
      <w:r w:rsidR="001F639B">
        <w:t xml:space="preserve">  </w:t>
      </w:r>
    </w:p>
    <w:p w14:paraId="03507C94" w14:textId="4DCE2116" w:rsidR="001006D1" w:rsidRDefault="001F639B" w:rsidP="00247754">
      <w:pPr>
        <w:pStyle w:val="BodyText"/>
      </w:pPr>
      <w:r>
        <w:t xml:space="preserve">Most transmission </w:t>
      </w:r>
      <w:proofErr w:type="spellStart"/>
      <w:r>
        <w:t>O&amp;M</w:t>
      </w:r>
      <w:proofErr w:type="spellEnd"/>
      <w:r>
        <w:t xml:space="preserve"> expenses are allocated using the 4CP allocator, while </w:t>
      </w:r>
      <w:r w:rsidR="00361534">
        <w:rPr>
          <w:bCs/>
        </w:rPr>
        <w:t>L</w:t>
      </w:r>
      <w:r>
        <w:rPr>
          <w:bCs/>
        </w:rPr>
        <w:t xml:space="preserve">oad </w:t>
      </w:r>
      <w:r w:rsidR="00361534">
        <w:rPr>
          <w:bCs/>
        </w:rPr>
        <w:t>D</w:t>
      </w:r>
      <w:r>
        <w:rPr>
          <w:bCs/>
        </w:rPr>
        <w:t>ispatching</w:t>
      </w:r>
      <w:r w:rsidR="00361534">
        <w:rPr>
          <w:bCs/>
        </w:rPr>
        <w:t xml:space="preserve"> expense (Account 561)</w:t>
      </w:r>
      <w:r>
        <w:rPr>
          <w:bCs/>
        </w:rPr>
        <w:t xml:space="preserve"> </w:t>
      </w:r>
      <w:r w:rsidR="00361534">
        <w:rPr>
          <w:bCs/>
        </w:rPr>
        <w:t xml:space="preserve">is </w:t>
      </w:r>
      <w:r>
        <w:rPr>
          <w:bCs/>
        </w:rPr>
        <w:t>allocated using a 12CP allocator.</w:t>
      </w:r>
      <w:r>
        <w:rPr>
          <w:rStyle w:val="FootnoteReference"/>
          <w:bCs/>
        </w:rPr>
        <w:footnoteReference w:id="49"/>
      </w:r>
      <w:r>
        <w:rPr>
          <w:bCs/>
        </w:rPr>
        <w:t xml:space="preserve">  </w:t>
      </w:r>
      <w:r>
        <w:t xml:space="preserve">Distribution </w:t>
      </w:r>
      <w:proofErr w:type="spellStart"/>
      <w:r>
        <w:t>O&amp;M</w:t>
      </w:r>
      <w:proofErr w:type="spellEnd"/>
      <w:r>
        <w:t xml:space="preserve"> costs are largely allocated consistent with the related distribution plant.</w:t>
      </w:r>
      <w:r>
        <w:rPr>
          <w:rStyle w:val="FootnoteReference"/>
        </w:rPr>
        <w:footnoteReference w:id="50"/>
      </w:r>
      <w:r>
        <w:t xml:space="preserve"> Customer-based allocators are used for most customer-related </w:t>
      </w:r>
      <w:proofErr w:type="spellStart"/>
      <w:r>
        <w:t>O&amp;M</w:t>
      </w:r>
      <w:proofErr w:type="spellEnd"/>
      <w:r>
        <w:t xml:space="preserve"> expenses.  </w:t>
      </w:r>
      <w:r w:rsidR="00A0594E">
        <w:t>Uncollectible accounts are allocated based on firm revenues excluding Other Public Authority and Large Commercial &amp; Industrial classes</w:t>
      </w:r>
      <w:r w:rsidR="00A0594E">
        <w:rPr>
          <w:rStyle w:val="FootnoteReference"/>
          <w:vertAlign w:val="baseline"/>
        </w:rPr>
        <w:t>.</w:t>
      </w:r>
      <w:r>
        <w:rPr>
          <w:rStyle w:val="FootnoteReference"/>
        </w:rPr>
        <w:footnoteReference w:id="51"/>
      </w:r>
    </w:p>
    <w:p w14:paraId="241D41CE" w14:textId="34B04DDE" w:rsidR="00A0594E" w:rsidRDefault="001F639B">
      <w:pPr>
        <w:pStyle w:val="BodyText"/>
        <w:rPr>
          <w:rFonts w:ascii="Arial" w:hAnsi="Arial" w:cs="Arial"/>
          <w:sz w:val="22"/>
          <w:szCs w:val="22"/>
        </w:rPr>
      </w:pPr>
      <w:r>
        <w:t>Depreciation and amortization expense is allocated consistent with the underlying plant.</w:t>
      </w:r>
      <w:r w:rsidR="00A0594E">
        <w:rPr>
          <w:rStyle w:val="FootnoteReference"/>
        </w:rPr>
        <w:footnoteReference w:id="52"/>
      </w:r>
      <w:r>
        <w:t xml:space="preserve">  </w:t>
      </w:r>
      <w:proofErr w:type="spellStart"/>
      <w:r>
        <w:t>A&amp;G</w:t>
      </w:r>
      <w:proofErr w:type="spellEnd"/>
      <w:r>
        <w:t xml:space="preserve"> expenses are allocated based on the labor allocator or their underlying functions.</w:t>
      </w:r>
      <w:r w:rsidR="00A0594E">
        <w:rPr>
          <w:rStyle w:val="FootnoteReference"/>
        </w:rPr>
        <w:footnoteReference w:id="53"/>
      </w:r>
      <w:r>
        <w:t xml:space="preserve">  Payroll and unemployment taxes are allocated based on labor, </w:t>
      </w:r>
      <w:r w:rsidR="00C257FE">
        <w:t xml:space="preserve">and </w:t>
      </w:r>
      <w:r w:rsidR="00A0594E">
        <w:t xml:space="preserve">property </w:t>
      </w:r>
      <w:r>
        <w:t>taxes are allocated consistent with their underlying functions.</w:t>
      </w:r>
      <w:r w:rsidR="00A0594E">
        <w:rPr>
          <w:rStyle w:val="FootnoteReference"/>
        </w:rPr>
        <w:footnoteReference w:id="54"/>
      </w:r>
      <w:r>
        <w:rPr>
          <w:rFonts w:ascii="Arial" w:hAnsi="Arial" w:cs="Arial"/>
          <w:sz w:val="22"/>
          <w:szCs w:val="22"/>
        </w:rPr>
        <w:t xml:space="preserve"> </w:t>
      </w:r>
    </w:p>
    <w:p w14:paraId="41C7ED17" w14:textId="54C54B56" w:rsidR="001006D1" w:rsidRDefault="001F639B">
      <w:pPr>
        <w:pStyle w:val="BodyText"/>
      </w:pPr>
      <w:r>
        <w:t>Revenues from non-firm</w:t>
      </w:r>
      <w:r w:rsidR="00FF6EB2">
        <w:t xml:space="preserve"> (interruptible)</w:t>
      </w:r>
      <w:r>
        <w:t xml:space="preserve"> schedules are credited to the firm</w:t>
      </w:r>
      <w:r w:rsidR="004220DA">
        <w:t xml:space="preserve"> </w:t>
      </w:r>
      <w:r>
        <w:t xml:space="preserve">service schedules </w:t>
      </w:r>
      <w:r w:rsidR="00A0594E">
        <w:t>using the 4CP method.</w:t>
      </w:r>
      <w:r>
        <w:rPr>
          <w:rStyle w:val="FootnoteReference"/>
        </w:rPr>
        <w:footnoteReference w:id="55"/>
      </w:r>
    </w:p>
    <w:p w14:paraId="2DDF7575" w14:textId="3B720365" w:rsidR="001006D1" w:rsidRDefault="001F639B">
      <w:pPr>
        <w:pStyle w:val="TestimonyQ"/>
      </w:pPr>
      <w:r>
        <w:t xml:space="preserve">what is YOUR GENERAL ASSESSMENT OF </w:t>
      </w:r>
      <w:proofErr w:type="spellStart"/>
      <w:r>
        <w:t>EPE’S</w:t>
      </w:r>
      <w:proofErr w:type="spellEnd"/>
      <w:r>
        <w:t xml:space="preserve"> APPROACH TO ALLOCATING PRODUCTION </w:t>
      </w:r>
      <w:r w:rsidR="00C97907">
        <w:t>PLANT COSTS</w:t>
      </w:r>
      <w:r>
        <w:t xml:space="preserve">? </w:t>
      </w:r>
    </w:p>
    <w:p w14:paraId="780425F3" w14:textId="4561C0C3" w:rsidR="00C97907" w:rsidRPr="00BB6BA5" w:rsidRDefault="001F639B" w:rsidP="00BB6BA5">
      <w:pPr>
        <w:pStyle w:val="ANSWER"/>
      </w:pPr>
      <w:r w:rsidRPr="00BB6BA5">
        <w:t xml:space="preserve">As a general proposition, I support </w:t>
      </w:r>
      <w:proofErr w:type="spellStart"/>
      <w:r w:rsidRPr="00BB6BA5">
        <w:t>EPE’s</w:t>
      </w:r>
      <w:proofErr w:type="spellEnd"/>
      <w:r w:rsidRPr="00BB6BA5">
        <w:t xml:space="preserve"> use of the </w:t>
      </w:r>
      <w:proofErr w:type="spellStart"/>
      <w:r w:rsidRPr="00BB6BA5">
        <w:t>A&amp;E</w:t>
      </w:r>
      <w:proofErr w:type="spellEnd"/>
      <w:r w:rsidRPr="00BB6BA5">
        <w:t xml:space="preserve">/4CP method to allocate </w:t>
      </w:r>
      <w:r w:rsidR="00BB70B6" w:rsidRPr="00BB6BA5">
        <w:t xml:space="preserve">the majority of its </w:t>
      </w:r>
      <w:r w:rsidRPr="00BB6BA5">
        <w:t>production plant</w:t>
      </w:r>
      <w:r w:rsidR="006F2107">
        <w:t xml:space="preserve"> costs</w:t>
      </w:r>
      <w:r w:rsidRPr="00BB6BA5">
        <w:t xml:space="preserve">.  </w:t>
      </w:r>
      <w:r w:rsidR="00C97907" w:rsidRPr="00BB6BA5">
        <w:t xml:space="preserve">However, I disagree with the way in which Company has applied the </w:t>
      </w:r>
      <w:proofErr w:type="spellStart"/>
      <w:r w:rsidR="00C97907" w:rsidRPr="00BB6BA5">
        <w:t>A&amp;E</w:t>
      </w:r>
      <w:proofErr w:type="spellEnd"/>
      <w:r w:rsidR="00C97907" w:rsidRPr="00BB6BA5">
        <w:t xml:space="preserve">/4CP method.  I </w:t>
      </w:r>
      <w:r w:rsidR="004220DA">
        <w:t xml:space="preserve">also </w:t>
      </w:r>
      <w:r w:rsidR="00C97907" w:rsidRPr="00BB6BA5">
        <w:t xml:space="preserve">recommend that </w:t>
      </w:r>
      <w:proofErr w:type="spellStart"/>
      <w:r w:rsidR="00C97907" w:rsidRPr="00BB6BA5">
        <w:t>A&amp;E</w:t>
      </w:r>
      <w:proofErr w:type="spellEnd"/>
      <w:r w:rsidR="00C97907" w:rsidRPr="00BB6BA5">
        <w:t xml:space="preserve">/4CP allocation method be applied to all allocable production plant, including </w:t>
      </w:r>
      <w:proofErr w:type="spellStart"/>
      <w:r w:rsidR="00C97907" w:rsidRPr="00BB6BA5">
        <w:t>EPE’s</w:t>
      </w:r>
      <w:proofErr w:type="spellEnd"/>
      <w:r w:rsidR="00C97907" w:rsidRPr="00BB6BA5">
        <w:t xml:space="preserve"> peaking units, rather than </w:t>
      </w:r>
      <w:r w:rsidR="00C97907" w:rsidRPr="00BB6BA5">
        <w:lastRenderedPageBreak/>
        <w:t xml:space="preserve">adopting </w:t>
      </w:r>
      <w:proofErr w:type="spellStart"/>
      <w:r w:rsidR="00C97907" w:rsidRPr="00BB6BA5">
        <w:t>EPE’s</w:t>
      </w:r>
      <w:proofErr w:type="spellEnd"/>
      <w:r w:rsidR="00C97907" w:rsidRPr="00BB6BA5">
        <w:t xml:space="preserve"> proposal to change to the 4CP method for these units.  Accordingly, I recommend several changes to </w:t>
      </w:r>
      <w:proofErr w:type="spellStart"/>
      <w:r w:rsidR="00C97907" w:rsidRPr="00BB6BA5">
        <w:t>EPE’s</w:t>
      </w:r>
      <w:proofErr w:type="spellEnd"/>
      <w:r w:rsidR="00C97907" w:rsidRPr="00BB6BA5">
        <w:t xml:space="preserve"> production </w:t>
      </w:r>
      <w:r w:rsidR="00BB70B6" w:rsidRPr="00BB6BA5">
        <w:t xml:space="preserve">plant </w:t>
      </w:r>
      <w:r w:rsidR="00C97907" w:rsidRPr="00BB6BA5">
        <w:t>allocations that I will explain below</w:t>
      </w:r>
      <w:r w:rsidR="00BB6BA5">
        <w:t>.</w:t>
      </w:r>
    </w:p>
    <w:p w14:paraId="3F6125B4" w14:textId="77777777" w:rsidR="001006D1" w:rsidRDefault="001F639B">
      <w:pPr>
        <w:pStyle w:val="TestimonyQ"/>
      </w:pPr>
      <w:r>
        <w:t xml:space="preserve">BEFORE TURNING TO YOUR RECOMMENDED CHANGES, PLEASE EXPLAIN WHY YOU SUPPORT </w:t>
      </w:r>
      <w:proofErr w:type="spellStart"/>
      <w:r>
        <w:t>EPE’S</w:t>
      </w:r>
      <w:proofErr w:type="spellEnd"/>
      <w:r>
        <w:t xml:space="preserve"> USE OF THE </w:t>
      </w:r>
      <w:proofErr w:type="spellStart"/>
      <w:r>
        <w:t>A&amp;E</w:t>
      </w:r>
      <w:proofErr w:type="spellEnd"/>
      <w:r>
        <w:t>/4CP METHOD TO ALLOCATE PRODUCTION PLANT.</w:t>
      </w:r>
    </w:p>
    <w:p w14:paraId="0CF03E17" w14:textId="16184EF5" w:rsidR="001006D1" w:rsidRDefault="001F639B" w:rsidP="00C257FE">
      <w:pPr>
        <w:pStyle w:val="ANSWER"/>
      </w:pPr>
      <w:r>
        <w:t xml:space="preserve">The Average and Excess Demand method is a well-accepted method for allocating production costs.  The </w:t>
      </w:r>
      <w:proofErr w:type="spellStart"/>
      <w:r>
        <w:t>A&amp;E</w:t>
      </w:r>
      <w:proofErr w:type="spellEnd"/>
      <w:r>
        <w:t xml:space="preserve">/4CP method is widely used in Texas.  </w:t>
      </w:r>
    </w:p>
    <w:p w14:paraId="778AA7B5" w14:textId="77777777" w:rsidR="001006D1" w:rsidRDefault="001F639B" w:rsidP="00F1383A">
      <w:pPr>
        <w:pStyle w:val="BodyText"/>
      </w:pPr>
      <w:r>
        <w:t xml:space="preserve">The </w:t>
      </w:r>
      <w:proofErr w:type="spellStart"/>
      <w:r>
        <w:t>A&amp;E</w:t>
      </w:r>
      <w:proofErr w:type="spellEnd"/>
      <w:r>
        <w:t xml:space="preserve">/4CP method recognizes both class energy usage (average demand) and class demand at the time of system peak (through the 4CP) in allocating costs to customer classes.  In the case of </w:t>
      </w:r>
      <w:proofErr w:type="spellStart"/>
      <w:r>
        <w:t>EPE</w:t>
      </w:r>
      <w:proofErr w:type="spellEnd"/>
      <w:r>
        <w:t>, the 4CP corresponds to the Company’s system peak demands in each of the four summer months, when system demand is at its greatest levels.  As such, the method accurately captures the requirements that each class makes on the need for investment in generating facilities.</w:t>
      </w:r>
    </w:p>
    <w:p w14:paraId="1D50C32B" w14:textId="2A1B7273" w:rsidR="001006D1" w:rsidRDefault="001F639B" w:rsidP="00247754">
      <w:pPr>
        <w:pStyle w:val="BodyText"/>
      </w:pPr>
      <w:r>
        <w:t xml:space="preserve">Specifically, the </w:t>
      </w:r>
      <w:proofErr w:type="spellStart"/>
      <w:r>
        <w:t>A&amp;E</w:t>
      </w:r>
      <w:proofErr w:type="spellEnd"/>
      <w:r>
        <w:t>/4CP method uses an average demand or total energy allocator to allocate that portion of the utility’s generating capacity that would be needed if all customers used energy at a constant 100 percent load factor.</w:t>
      </w:r>
      <w:r>
        <w:rPr>
          <w:rStyle w:val="FootnoteReference"/>
        </w:rPr>
        <w:footnoteReference w:id="56"/>
      </w:r>
      <w:r>
        <w:t xml:space="preserve">  This portion of the cost is weighted by the system load factor.  The cost of capacity above average demand is then allocated in proportion to each class’s </w:t>
      </w:r>
      <w:r>
        <w:rPr>
          <w:u w:val="single"/>
        </w:rPr>
        <w:t>excess</w:t>
      </w:r>
      <w:r>
        <w:t xml:space="preserve"> demand, where excess demand is measured as the </w:t>
      </w:r>
      <w:r>
        <w:rPr>
          <w:i/>
        </w:rPr>
        <w:t>difference</w:t>
      </w:r>
      <w:r>
        <w:t xml:space="preserve"> between each class’s 4CP demand and its average demand.  This portion of the cost is weighted by 1 minus the system load factor.  In this manner, the incremental amount of production plant that is </w:t>
      </w:r>
      <w:r w:rsidRPr="00385160">
        <w:t xml:space="preserve">required to meet loads that are above average demand is assigned to the users who create the need for the additional capacity.  </w:t>
      </w:r>
      <w:r w:rsidRPr="00A871AE">
        <w:t xml:space="preserve">In Texas, the </w:t>
      </w:r>
      <w:proofErr w:type="spellStart"/>
      <w:r w:rsidRPr="00A871AE">
        <w:t>A&amp;E</w:t>
      </w:r>
      <w:proofErr w:type="spellEnd"/>
      <w:r w:rsidRPr="00A871AE">
        <w:t>/4CP methodology has been adopted by the Commission for each of three other major non-ERCOT utilities.</w:t>
      </w:r>
      <w:r w:rsidR="008A4139" w:rsidRPr="00A871AE">
        <w:rPr>
          <w:rStyle w:val="FootnoteReference"/>
        </w:rPr>
        <w:footnoteReference w:id="57"/>
      </w:r>
    </w:p>
    <w:p w14:paraId="3CA21F00" w14:textId="16167BE8" w:rsidR="001006D1" w:rsidRDefault="001F639B" w:rsidP="00C257FE">
      <w:pPr>
        <w:pStyle w:val="Heading3"/>
        <w:jc w:val="both"/>
      </w:pPr>
      <w:bookmarkStart w:id="18" w:name="_Toc85714086"/>
      <w:r>
        <w:lastRenderedPageBreak/>
        <w:t>Load Factor</w:t>
      </w:r>
      <w:bookmarkEnd w:id="18"/>
      <w:r>
        <w:t xml:space="preserve"> </w:t>
      </w:r>
    </w:p>
    <w:p w14:paraId="328C1725" w14:textId="2FA43C47" w:rsidR="001006D1" w:rsidRDefault="001F639B">
      <w:pPr>
        <w:pStyle w:val="TestimonyQ"/>
      </w:pPr>
      <w:r>
        <w:t>WHAT ROLE DOES LOAD FACTOR PLAY IN THE</w:t>
      </w:r>
      <w:r w:rsidR="00C257FE">
        <w:t xml:space="preserve"> </w:t>
      </w:r>
      <w:proofErr w:type="spellStart"/>
      <w:r>
        <w:t>A&amp;E</w:t>
      </w:r>
      <w:proofErr w:type="spellEnd"/>
      <w:r>
        <w:t xml:space="preserve">/4CP CALCULATION? </w:t>
      </w:r>
    </w:p>
    <w:p w14:paraId="4360BF9B" w14:textId="77777777" w:rsidR="001006D1" w:rsidRDefault="001F639B">
      <w:pPr>
        <w:pStyle w:val="ANSWER"/>
      </w:pPr>
      <w:r>
        <w:t xml:space="preserve">As I explained above, in the </w:t>
      </w:r>
      <w:proofErr w:type="spellStart"/>
      <w:r>
        <w:t>A&amp;E</w:t>
      </w:r>
      <w:proofErr w:type="spellEnd"/>
      <w:r>
        <w:t xml:space="preserve">/4CP method, system load factor is utilized to determine the proportion of production plant cost that is allocated on the basis of average demand (or energy).  It thus plays a critical role in cost allocation. </w:t>
      </w:r>
    </w:p>
    <w:p w14:paraId="345DBDC9" w14:textId="77777777" w:rsidR="00C257FE" w:rsidRPr="006E753D" w:rsidRDefault="001F639B" w:rsidP="006E753D">
      <w:pPr>
        <w:pStyle w:val="TestimonyQ"/>
      </w:pPr>
      <w:r w:rsidRPr="006E753D">
        <w:t>HOW IS LOAD FACTOR CALCULATED?</w:t>
      </w:r>
    </w:p>
    <w:p w14:paraId="27FEF464" w14:textId="4F1EFA61" w:rsidR="001006D1" w:rsidRPr="00C257FE" w:rsidRDefault="001F639B" w:rsidP="006E753D">
      <w:pPr>
        <w:pStyle w:val="ANSWER"/>
      </w:pPr>
      <w:r w:rsidRPr="00C257FE">
        <w:t>As a general matter, load factor is calculated by dividing the energy used by an entity during a time period by the product of the entity’s single highest peak demand during the time period, multiplied by the number of hours in the same time period.</w:t>
      </w:r>
      <w:r w:rsidR="006E753D">
        <w:rPr>
          <w:rStyle w:val="FootnoteReference"/>
        </w:rPr>
        <w:footnoteReference w:id="58"/>
      </w:r>
      <w:r w:rsidRPr="00C257FE">
        <w:t xml:space="preserve">  It thus provides a measure of an entity’s actual energy usage relative to its theoretical maximum, given the peak demand of the measured entity (which can be a customer, customer class, or utility system).  In the context of the </w:t>
      </w:r>
      <w:proofErr w:type="spellStart"/>
      <w:r w:rsidRPr="00C257FE">
        <w:t>A&amp;E</w:t>
      </w:r>
      <w:proofErr w:type="spellEnd"/>
      <w:r w:rsidRPr="00C257FE">
        <w:t xml:space="preserve">/4CP calculation, load factor </w:t>
      </w:r>
      <w:r w:rsidR="00361534">
        <w:t>should be</w:t>
      </w:r>
      <w:r w:rsidRPr="00C257FE">
        <w:t xml:space="preserve"> calculated for the utility system </w:t>
      </w:r>
      <w:r w:rsidR="00361534">
        <w:t xml:space="preserve">based on </w:t>
      </w:r>
      <w:r w:rsidRPr="00C257FE">
        <w:t>its annual system coincident peak (1CP).</w:t>
      </w:r>
    </w:p>
    <w:p w14:paraId="7AF26B2E" w14:textId="77777777" w:rsidR="001006D1" w:rsidRDefault="001F639B" w:rsidP="006E753D">
      <w:pPr>
        <w:pStyle w:val="ANSWER"/>
        <w:numPr>
          <w:ilvl w:val="0"/>
          <w:numId w:val="0"/>
        </w:numPr>
        <w:spacing w:after="0"/>
        <w:ind w:left="720" w:hanging="720"/>
        <w:rPr>
          <w:b/>
        </w:rPr>
      </w:pPr>
      <w:r>
        <w:rPr>
          <w:b/>
        </w:rPr>
        <w:t>Q.</w:t>
      </w:r>
      <w:r>
        <w:rPr>
          <w:b/>
        </w:rPr>
        <w:tab/>
        <w:t xml:space="preserve">DOES </w:t>
      </w:r>
      <w:proofErr w:type="spellStart"/>
      <w:r>
        <w:rPr>
          <w:b/>
        </w:rPr>
        <w:t>EPE</w:t>
      </w:r>
      <w:proofErr w:type="spellEnd"/>
      <w:r>
        <w:rPr>
          <w:b/>
        </w:rPr>
        <w:t xml:space="preserve"> ADHERE TO THIS NORMAL CONVENTION IN CALCULATING SYSTEM LOAD FACTOR?</w:t>
      </w:r>
    </w:p>
    <w:p w14:paraId="32F6B750" w14:textId="782E646C" w:rsidR="00BB70B6" w:rsidRDefault="001F639B" w:rsidP="00C257FE">
      <w:pPr>
        <w:pStyle w:val="ANSWER"/>
        <w:numPr>
          <w:ilvl w:val="0"/>
          <w:numId w:val="0"/>
        </w:numPr>
        <w:ind w:left="720"/>
      </w:pPr>
      <w:r>
        <w:t xml:space="preserve">No.  </w:t>
      </w:r>
      <w:proofErr w:type="spellStart"/>
      <w:r>
        <w:t>EPE’s</w:t>
      </w:r>
      <w:proofErr w:type="spellEnd"/>
      <w:r>
        <w:t xml:space="preserve"> calculation of system load factor departs from standard practice.  </w:t>
      </w:r>
      <w:r w:rsidR="006F2107">
        <w:t xml:space="preserve">Rather than using the single highest CP, </w:t>
      </w:r>
      <w:proofErr w:type="spellStart"/>
      <w:r>
        <w:t>EPE</w:t>
      </w:r>
      <w:proofErr w:type="spellEnd"/>
      <w:r>
        <w:t xml:space="preserve"> calculates system load factor </w:t>
      </w:r>
      <w:r w:rsidR="00BB70B6">
        <w:t>using the average of the four summer CPs</w:t>
      </w:r>
      <w:r w:rsidR="006F2107">
        <w:t xml:space="preserve">. </w:t>
      </w:r>
      <w:r w:rsidR="00271058">
        <w:t xml:space="preserve"> </w:t>
      </w:r>
      <w:r w:rsidR="006F2107">
        <w:t xml:space="preserve">I also note that </w:t>
      </w:r>
      <w:proofErr w:type="spellStart"/>
      <w:r w:rsidR="00BB70B6" w:rsidRPr="00361534">
        <w:t>EPE</w:t>
      </w:r>
      <w:proofErr w:type="spellEnd"/>
      <w:r w:rsidR="00BB70B6" w:rsidRPr="00361534">
        <w:t xml:space="preserve"> uses </w:t>
      </w:r>
      <w:r w:rsidRPr="004C6460">
        <w:t>adjusted</w:t>
      </w:r>
      <w:r w:rsidRPr="00361534">
        <w:t xml:space="preserve"> loads rather than </w:t>
      </w:r>
      <w:r w:rsidRPr="004C6460">
        <w:t>actual</w:t>
      </w:r>
      <w:r w:rsidRPr="00361534">
        <w:t xml:space="preserve"> (unadjusted) lo</w:t>
      </w:r>
      <w:r>
        <w:t xml:space="preserve">ads. </w:t>
      </w:r>
      <w:r w:rsidR="00BB70B6">
        <w:t xml:space="preserve"> </w:t>
      </w:r>
    </w:p>
    <w:p w14:paraId="2C7CFDEF" w14:textId="678A5D67" w:rsidR="001006D1" w:rsidRPr="005F2D4A" w:rsidRDefault="001F639B">
      <w:pPr>
        <w:pStyle w:val="TestimonyQ"/>
      </w:pPr>
      <w:r>
        <w:t xml:space="preserve">HAS </w:t>
      </w:r>
      <w:proofErr w:type="spellStart"/>
      <w:r>
        <w:t>EPE</w:t>
      </w:r>
      <w:proofErr w:type="spellEnd"/>
      <w:r>
        <w:t xml:space="preserve"> PROVIDED AN EXPLANATION FOR ITS USE OF</w:t>
      </w:r>
      <w:r w:rsidR="00777846">
        <w:t xml:space="preserve"> </w:t>
      </w:r>
      <w:bookmarkStart w:id="19" w:name="_Hlk85464026"/>
      <w:r w:rsidR="00777846">
        <w:t>THE</w:t>
      </w:r>
      <w:r>
        <w:t xml:space="preserve"> </w:t>
      </w:r>
      <w:r w:rsidR="00777846">
        <w:t xml:space="preserve">4CP AVERAGE DEMANDS </w:t>
      </w:r>
      <w:r>
        <w:t xml:space="preserve">IN THE CALCULATION OF SYSTEM LOAD </w:t>
      </w:r>
      <w:r w:rsidRPr="005F2D4A">
        <w:t>FACTOR</w:t>
      </w:r>
      <w:bookmarkEnd w:id="19"/>
      <w:r w:rsidRPr="005F2D4A">
        <w:t>?</w:t>
      </w:r>
    </w:p>
    <w:p w14:paraId="5226764A" w14:textId="5D145EF3" w:rsidR="001006D1" w:rsidRDefault="001F639B">
      <w:pPr>
        <w:pStyle w:val="ANSWER"/>
      </w:pPr>
      <w:r w:rsidRPr="005F2D4A">
        <w:t xml:space="preserve">Yes.  </w:t>
      </w:r>
      <w:proofErr w:type="spellStart"/>
      <w:r w:rsidR="003878DB">
        <w:t>EPE</w:t>
      </w:r>
      <w:proofErr w:type="spellEnd"/>
      <w:r w:rsidR="003878DB">
        <w:t xml:space="preserve"> argues that using a load factor based on the average of the 4CP months is consistent with </w:t>
      </w:r>
      <w:r w:rsidR="00271058">
        <w:t xml:space="preserve">the </w:t>
      </w:r>
      <w:r w:rsidR="003878DB">
        <w:t xml:space="preserve">purpose of the allocation factor, since 4CPs are used to determine the excess demand in the </w:t>
      </w:r>
      <w:proofErr w:type="spellStart"/>
      <w:r w:rsidR="003878DB" w:rsidRPr="003878DB">
        <w:t>A&amp;E</w:t>
      </w:r>
      <w:proofErr w:type="spellEnd"/>
      <w:r w:rsidR="003878DB" w:rsidRPr="003878DB">
        <w:t>/4CP</w:t>
      </w:r>
      <w:r w:rsidR="003878DB">
        <w:t xml:space="preserve"> method.  In his Direct Testimony, George </w:t>
      </w:r>
      <w:proofErr w:type="spellStart"/>
      <w:r w:rsidR="003878DB">
        <w:t>Novela</w:t>
      </w:r>
      <w:proofErr w:type="spellEnd"/>
      <w:r w:rsidR="003878DB">
        <w:t xml:space="preserve"> argues that System Planning uses a forecasted CP, not an historical CP for planning.</w:t>
      </w:r>
      <w:r w:rsidR="000D1F5F">
        <w:t xml:space="preserve"> </w:t>
      </w:r>
      <w:r w:rsidR="003878DB">
        <w:t xml:space="preserve"> A forecasted CP is an estimate </w:t>
      </w:r>
      <w:r w:rsidR="003878DB" w:rsidRPr="003878DB">
        <w:t>reflecting the expected value of the peak.</w:t>
      </w:r>
      <w:r w:rsidR="003878DB">
        <w:t xml:space="preserve">  Mr. </w:t>
      </w:r>
      <w:proofErr w:type="spellStart"/>
      <w:r w:rsidR="003878DB">
        <w:t>Novela</w:t>
      </w:r>
      <w:proofErr w:type="spellEnd"/>
      <w:r w:rsidR="003878DB">
        <w:t xml:space="preserve"> contends that using the single CP from the historical test year does not truly reflect the peak for planning purposes. </w:t>
      </w:r>
      <w:r w:rsidR="000D1F5F">
        <w:t xml:space="preserve"> </w:t>
      </w:r>
      <w:r w:rsidR="003878DB">
        <w:t xml:space="preserve">Rather, he argues that averaging the 4CPs more likely reflects the expected peak </w:t>
      </w:r>
      <w:r w:rsidR="003878DB">
        <w:lastRenderedPageBreak/>
        <w:t>value since i</w:t>
      </w:r>
      <w:r w:rsidR="00790B2A">
        <w:t>t</w:t>
      </w:r>
      <w:r w:rsidR="003878DB">
        <w:t xml:space="preserve"> reflects a range of peak values, each of which has some expectation of occurring.</w:t>
      </w:r>
      <w:r w:rsidR="00790B2A">
        <w:rPr>
          <w:rStyle w:val="FootnoteReference"/>
        </w:rPr>
        <w:footnoteReference w:id="59"/>
      </w:r>
      <w:r w:rsidR="003878DB">
        <w:t xml:space="preserve"> </w:t>
      </w:r>
    </w:p>
    <w:p w14:paraId="7326DA35" w14:textId="00FB99C5" w:rsidR="001006D1" w:rsidRPr="009B30DA" w:rsidRDefault="001F639B" w:rsidP="009B30DA">
      <w:pPr>
        <w:pStyle w:val="TestimonyQ"/>
      </w:pPr>
      <w:r w:rsidRPr="009B30DA">
        <w:t xml:space="preserve">DO YOU FIND </w:t>
      </w:r>
      <w:proofErr w:type="spellStart"/>
      <w:r w:rsidRPr="009B30DA">
        <w:t>EPE’S</w:t>
      </w:r>
      <w:proofErr w:type="spellEnd"/>
      <w:r w:rsidRPr="009B30DA">
        <w:t xml:space="preserve"> EXPLANATION ADEQUATE?</w:t>
      </w:r>
    </w:p>
    <w:p w14:paraId="6A790E0F" w14:textId="67334736" w:rsidR="001006D1" w:rsidRDefault="001F639B" w:rsidP="009F6AC1">
      <w:pPr>
        <w:pStyle w:val="ANSWER"/>
      </w:pPr>
      <w:r>
        <w:t>No, not at all.  System load factor for the Test Year should be based on the system’s single highest peak demand for that year.  This treatment is consistent with the method for measuring system load factor presented in the discussion of the Average and Excess Demand method in the Electric Utility Cost Allocation Manual published by the National Association of Regulatory Utility Commissioners.</w:t>
      </w:r>
      <w:r>
        <w:rPr>
          <w:rStyle w:val="FootnoteReference"/>
        </w:rPr>
        <w:footnoteReference w:id="60"/>
      </w:r>
      <w:r>
        <w:t xml:space="preserve">  This measurement is not only the correct measurement of </w:t>
      </w:r>
      <w:r w:rsidR="00361534">
        <w:t>T</w:t>
      </w:r>
      <w:r>
        <w:t xml:space="preserve">est </w:t>
      </w:r>
      <w:r w:rsidR="00361534">
        <w:t>Y</w:t>
      </w:r>
      <w:r>
        <w:t>e</w:t>
      </w:r>
      <w:r w:rsidR="004C6460">
        <w:t>ar</w:t>
      </w:r>
      <w:r>
        <w:t xml:space="preserve"> load factor, it is also the most appropriate measurement from a conceptual standpoint given the task at hand.</w:t>
      </w:r>
    </w:p>
    <w:p w14:paraId="411D574D" w14:textId="77777777" w:rsidR="001006D1" w:rsidRDefault="001F639B">
      <w:pPr>
        <w:pStyle w:val="TestimonyQ"/>
      </w:pPr>
      <w:r>
        <w:t>PLEASE EXPLAIN THIS LATTER POINT.</w:t>
      </w:r>
    </w:p>
    <w:p w14:paraId="4216663C" w14:textId="6D5BEFD7" w:rsidR="00F86482" w:rsidRDefault="001F639B" w:rsidP="00F86482">
      <w:pPr>
        <w:pStyle w:val="ANSWER"/>
      </w:pPr>
      <w:r>
        <w:t xml:space="preserve">Recall that the </w:t>
      </w:r>
      <w:r>
        <w:rPr>
          <w:i/>
        </w:rPr>
        <w:t>purpose</w:t>
      </w:r>
      <w:r>
        <w:t xml:space="preserve"> of using system load factor in the </w:t>
      </w:r>
      <w:proofErr w:type="spellStart"/>
      <w:r>
        <w:t>A&amp;E</w:t>
      </w:r>
      <w:proofErr w:type="spellEnd"/>
      <w:r>
        <w:t xml:space="preserve">/4CP method is to identify the proportion of costs that are to be allocated on the basis of average demand, which in turn is capturing the production plant that each class would require if its respective kilowatt-hour usage was consumed at a 100% load factor for the entire year.  </w:t>
      </w:r>
      <w:r w:rsidR="00F86482">
        <w:t xml:space="preserve">Consistent with this </w:t>
      </w:r>
      <w:r w:rsidR="00541C15">
        <w:t>purpose</w:t>
      </w:r>
      <w:r w:rsidR="00F86482">
        <w:t xml:space="preserve">, the calculation of average demand in this exercise is a single annual value.  </w:t>
      </w:r>
    </w:p>
    <w:p w14:paraId="09EED62E" w14:textId="0B4DC8A0" w:rsidR="00F86482" w:rsidRDefault="00F86482" w:rsidP="00376DE9">
      <w:pPr>
        <w:pStyle w:val="ANSWER"/>
        <w:numPr>
          <w:ilvl w:val="0"/>
          <w:numId w:val="0"/>
        </w:numPr>
        <w:ind w:left="720"/>
      </w:pPr>
      <w:r>
        <w:t>This point is critical to the logic here because excess demand, which is measured using 4CP, only exists as a concept in relation to annual average demand (i.e., it is the excess above average demand).  Thus, the load factor weight that is attached to this annual average demand should be measured using the single peak demand for the test year.  The number of CPs used in calculating excess demand – be it 1, 4, or some other number – is irrelevant to the determination of annual average demand and irrelevant to the determination of system load factor for the test period.  There is but one system load factor during the year, not multiple load factors depending on how many CPs are used to calculate excess demand.</w:t>
      </w:r>
    </w:p>
    <w:p w14:paraId="42BF3197" w14:textId="65D7B875" w:rsidR="001006D1" w:rsidRDefault="001F639B" w:rsidP="00F1383A">
      <w:pPr>
        <w:pStyle w:val="BodyText"/>
      </w:pPr>
      <w:r w:rsidRPr="0022108A">
        <w:lastRenderedPageBreak/>
        <w:t xml:space="preserve">In addition to being conceptually correct from the standpoint of cost allocation, measuring load factor with respect to the maximum system peak demand is consistent </w:t>
      </w:r>
      <w:r w:rsidR="00F86482">
        <w:t xml:space="preserve">with the </w:t>
      </w:r>
      <w:r w:rsidRPr="0022108A">
        <w:t xml:space="preserve">approach </w:t>
      </w:r>
      <w:proofErr w:type="spellStart"/>
      <w:r w:rsidRPr="0022108A">
        <w:t>EPE</w:t>
      </w:r>
      <w:proofErr w:type="spellEnd"/>
      <w:r w:rsidRPr="0022108A">
        <w:t xml:space="preserve"> uses in assessing its load</w:t>
      </w:r>
      <w:r w:rsidR="001A7778">
        <w:t>s</w:t>
      </w:r>
      <w:r w:rsidRPr="0022108A">
        <w:t xml:space="preserve"> and resource</w:t>
      </w:r>
      <w:r w:rsidR="001A7778">
        <w:t>s</w:t>
      </w:r>
      <w:r w:rsidRPr="0022108A">
        <w:t xml:space="preserve"> balance to calculate its planning reserve margin</w:t>
      </w:r>
      <w:r w:rsidR="002B304D">
        <w:t xml:space="preserve">.  For example, in its Integrated Resource Plan, </w:t>
      </w:r>
      <w:proofErr w:type="spellStart"/>
      <w:r w:rsidR="002B304D">
        <w:t>EPE</w:t>
      </w:r>
      <w:proofErr w:type="spellEnd"/>
      <w:r w:rsidR="002B304D">
        <w:t xml:space="preserve"> calculates its planning reserve based on its projected highest system demand annually, which is 2,122 MW in 2021.</w:t>
      </w:r>
      <w:r w:rsidR="002B304D">
        <w:rPr>
          <w:rStyle w:val="FootnoteReference"/>
        </w:rPr>
        <w:footnoteReference w:id="61"/>
      </w:r>
      <w:r w:rsidR="0078036E" w:rsidRPr="0078036E">
        <w:t xml:space="preserve"> </w:t>
      </w:r>
      <w:r w:rsidR="0078036E">
        <w:t xml:space="preserve"> Indeed, in </w:t>
      </w:r>
      <w:proofErr w:type="spellStart"/>
      <w:r w:rsidR="0078036E">
        <w:t>EPE’s</w:t>
      </w:r>
      <w:proofErr w:type="spellEnd"/>
      <w:r w:rsidR="0078036E">
        <w:t xml:space="preserve"> last rate case, Docket No. 46831, Mr. </w:t>
      </w:r>
      <w:proofErr w:type="spellStart"/>
      <w:r w:rsidR="0078036E">
        <w:t>Novela</w:t>
      </w:r>
      <w:proofErr w:type="spellEnd"/>
      <w:r w:rsidR="0078036E">
        <w:t xml:space="preserve">, who agreed with parties’ recommendations to use a 1CP load factor in that case, specifically noted that, “The use of a 1CP load factor is also consistent with how </w:t>
      </w:r>
      <w:proofErr w:type="spellStart"/>
      <w:r w:rsidR="0078036E">
        <w:t>EPE</w:t>
      </w:r>
      <w:proofErr w:type="spellEnd"/>
      <w:r w:rsidR="0078036E">
        <w:t xml:space="preserve"> plans and builds its generation and transmission systems.”</w:t>
      </w:r>
      <w:r w:rsidR="0078036E">
        <w:rPr>
          <w:rStyle w:val="FootnoteReference"/>
        </w:rPr>
        <w:footnoteReference w:id="62"/>
      </w:r>
    </w:p>
    <w:p w14:paraId="3A3528BC" w14:textId="77151A3D" w:rsidR="00DF2638" w:rsidRDefault="00DF2638" w:rsidP="0095602F">
      <w:pPr>
        <w:pStyle w:val="TestimonyQ"/>
      </w:pPr>
      <w:r>
        <w:t xml:space="preserve">IS </w:t>
      </w:r>
      <w:proofErr w:type="spellStart"/>
      <w:r>
        <w:t>EPE’S</w:t>
      </w:r>
      <w:proofErr w:type="spellEnd"/>
      <w:r>
        <w:t xml:space="preserve"> USE OF THE 4CP AVERAGE DEMANDS IN THE CALCULATION OF SYSTEM LOAD </w:t>
      </w:r>
      <w:r w:rsidRPr="005F2D4A">
        <w:t>FACTOR</w:t>
      </w:r>
      <w:r>
        <w:t xml:space="preserve"> CONSISTENT WITH COMMISSION PRECEDENT?</w:t>
      </w:r>
    </w:p>
    <w:p w14:paraId="4866FD8D" w14:textId="7B56D793" w:rsidR="00DF2638" w:rsidRDefault="00DF2638" w:rsidP="0095602F">
      <w:pPr>
        <w:pStyle w:val="ANSWER"/>
      </w:pPr>
      <w:r>
        <w:t>No.  This issue was litigated in two recent cases before the Commission</w:t>
      </w:r>
      <w:r w:rsidR="00541C15">
        <w:t xml:space="preserve">: </w:t>
      </w:r>
      <w:r>
        <w:t>Docket No. 43695 (</w:t>
      </w:r>
      <w:r w:rsidR="00541C15">
        <w:t>Southwestern Public Service Company [“</w:t>
      </w:r>
      <w:r>
        <w:t>SPS</w:t>
      </w:r>
      <w:r w:rsidR="00541C15">
        <w:t>”]</w:t>
      </w:r>
      <w:r>
        <w:t>),</w:t>
      </w:r>
      <w:r w:rsidR="00971DDE">
        <w:rPr>
          <w:rStyle w:val="FootnoteReference"/>
        </w:rPr>
        <w:footnoteReference w:id="63"/>
      </w:r>
      <w:r>
        <w:t xml:space="preserve"> and Docket No. 46449</w:t>
      </w:r>
      <w:r w:rsidR="00271058">
        <w:t xml:space="preserve"> (Southwestern Electric Power Company</w:t>
      </w:r>
      <w:r w:rsidR="001972A6">
        <w:t xml:space="preserve"> [“SWEPCO”]</w:t>
      </w:r>
      <w:r w:rsidR="00271058">
        <w:t>)</w:t>
      </w:r>
      <w:r w:rsidR="00970D32">
        <w:t>.</w:t>
      </w:r>
      <w:r w:rsidR="00971DDE">
        <w:rPr>
          <w:rStyle w:val="FootnoteReference"/>
        </w:rPr>
        <w:footnoteReference w:id="64"/>
      </w:r>
      <w:r>
        <w:t xml:space="preserve">  In both cases the Commission required the use of the single annual coincident peak in calculating the system load factor.   </w:t>
      </w:r>
    </w:p>
    <w:p w14:paraId="3131C73D" w14:textId="77777777" w:rsidR="006E5CC5" w:rsidRDefault="006E5CC5" w:rsidP="006E5CC5">
      <w:pPr>
        <w:pStyle w:val="TestimonyQ"/>
      </w:pPr>
      <w:r>
        <w:t xml:space="preserve">should </w:t>
      </w:r>
      <w:proofErr w:type="spellStart"/>
      <w:r>
        <w:t>epe</w:t>
      </w:r>
      <w:proofErr w:type="spellEnd"/>
      <w:r>
        <w:t xml:space="preserve"> use actual or adjusted demands in calculating system load factor?</w:t>
      </w:r>
    </w:p>
    <w:p w14:paraId="5DB529E7" w14:textId="13817030" w:rsidR="006E5CC5" w:rsidRDefault="006E5CC5" w:rsidP="006E5CC5">
      <w:pPr>
        <w:pStyle w:val="ANSWER"/>
      </w:pPr>
      <w:r>
        <w:t xml:space="preserve">I recommend </w:t>
      </w:r>
      <w:r w:rsidRPr="001A7778">
        <w:t xml:space="preserve">using </w:t>
      </w:r>
      <w:r w:rsidRPr="001A7778">
        <w:rPr>
          <w:iCs/>
        </w:rPr>
        <w:t xml:space="preserve">actual </w:t>
      </w:r>
      <w:r w:rsidRPr="001A7778">
        <w:t>sy</w:t>
      </w:r>
      <w:r>
        <w:t xml:space="preserve">stem firm loads in calculating system load factor. Using the actual (i.e., unadjusted) firm loads for this purpose best represents system load factor during the test period.  In contrast, </w:t>
      </w:r>
      <w:proofErr w:type="spellStart"/>
      <w:r>
        <w:t>EPE</w:t>
      </w:r>
      <w:proofErr w:type="spellEnd"/>
      <w:r>
        <w:t xml:space="preserve"> used adjusted firm loads for this purpose.  </w:t>
      </w:r>
    </w:p>
    <w:p w14:paraId="5FAAA7C2" w14:textId="77777777" w:rsidR="00523FF5" w:rsidRDefault="00523FF5" w:rsidP="00523FF5">
      <w:pPr>
        <w:suppressLineNumbers/>
        <w:rPr>
          <w:rFonts w:eastAsia="Calibri"/>
          <w:b/>
          <w:caps/>
          <w:szCs w:val="20"/>
        </w:rPr>
      </w:pPr>
      <w:r>
        <w:br w:type="page"/>
      </w:r>
    </w:p>
    <w:p w14:paraId="0E443397" w14:textId="55ACC266" w:rsidR="006F2107" w:rsidRPr="00F258AD" w:rsidRDefault="006F2107" w:rsidP="00C97BFC">
      <w:pPr>
        <w:pStyle w:val="TestimonyQ"/>
      </w:pPr>
      <w:r>
        <w:lastRenderedPageBreak/>
        <w:t xml:space="preserve">WHAT LOAD FACTOR DOES </w:t>
      </w:r>
      <w:proofErr w:type="spellStart"/>
      <w:r>
        <w:t>EPE</w:t>
      </w:r>
      <w:proofErr w:type="spellEnd"/>
      <w:r>
        <w:t xml:space="preserve"> CALCULATE FOR CLASS COST ALLOCATION PURPOSES? </w:t>
      </w:r>
    </w:p>
    <w:p w14:paraId="697BDEED" w14:textId="6C275E64" w:rsidR="006F2107" w:rsidRDefault="006F2107" w:rsidP="006F2107">
      <w:pPr>
        <w:pStyle w:val="ANSWER"/>
      </w:pPr>
      <w:proofErr w:type="spellStart"/>
      <w:r>
        <w:t>EPE’s</w:t>
      </w:r>
      <w:proofErr w:type="spellEnd"/>
      <w:r>
        <w:t xml:space="preserve"> calculation using </w:t>
      </w:r>
      <w:r w:rsidRPr="00BB70B6">
        <w:t xml:space="preserve">the </w:t>
      </w:r>
      <w:r>
        <w:t xml:space="preserve">average of the 4CPs </w:t>
      </w:r>
      <w:r w:rsidRPr="00BB70B6">
        <w:t>artificially inflates the system load factor.</w:t>
      </w:r>
      <w:r>
        <w:t xml:space="preserve"> </w:t>
      </w:r>
      <w:r w:rsidRPr="00BB70B6">
        <w:t xml:space="preserve">Using </w:t>
      </w:r>
      <w:r>
        <w:t xml:space="preserve">the average of the adjusted firm 4CP demands of </w:t>
      </w:r>
      <w:r w:rsidRPr="001B75B4">
        <w:t>1,841</w:t>
      </w:r>
      <w:r>
        <w:t xml:space="preserve"> MW</w:t>
      </w:r>
      <w:r w:rsidRPr="00BB70B6">
        <w:t xml:space="preserve">, </w:t>
      </w:r>
      <w:proofErr w:type="spellStart"/>
      <w:r w:rsidRPr="00BB70B6">
        <w:t>EPE</w:t>
      </w:r>
      <w:proofErr w:type="spellEnd"/>
      <w:r w:rsidRPr="00BB70B6">
        <w:t xml:space="preserve"> calculates a system load factor of </w:t>
      </w:r>
      <w:r>
        <w:t>49.73%</w:t>
      </w:r>
      <w:r w:rsidRPr="00BB70B6">
        <w:t>.</w:t>
      </w:r>
      <w:r w:rsidRPr="00715BA2">
        <w:rPr>
          <w:rStyle w:val="FootnoteReference"/>
          <w:sz w:val="22"/>
          <w:szCs w:val="22"/>
        </w:rPr>
        <w:footnoteReference w:id="65"/>
      </w:r>
    </w:p>
    <w:p w14:paraId="7F25EBFE" w14:textId="77777777" w:rsidR="006F2107" w:rsidRDefault="006F2107" w:rsidP="00C97BFC">
      <w:pPr>
        <w:pStyle w:val="TestimonyQ"/>
      </w:pPr>
      <w:r>
        <w:t xml:space="preserve">WHAT IS THE CORRECT CALCULATION OF SYSTEM LOAD FACTOR FOR CLASS COST ALLOCATION PURPOSES? </w:t>
      </w:r>
    </w:p>
    <w:p w14:paraId="6CDB6762" w14:textId="584A915E" w:rsidR="006F2107" w:rsidRPr="00357C9E" w:rsidRDefault="006F2107" w:rsidP="006F2107">
      <w:pPr>
        <w:pStyle w:val="ANSWER"/>
      </w:pPr>
      <w:r>
        <w:t>Using the actual system firm peak demand in July 2020 of 2,106 MW,</w:t>
      </w:r>
      <w:r>
        <w:rPr>
          <w:rStyle w:val="FootnoteReference"/>
          <w:bCs/>
        </w:rPr>
        <w:footnoteReference w:id="66"/>
      </w:r>
      <w:r>
        <w:t xml:space="preserve"> </w:t>
      </w:r>
      <w:r w:rsidRPr="00715BA2">
        <w:t xml:space="preserve">I calculate that the system load factor is </w:t>
      </w:r>
      <w:r>
        <w:t>45.47</w:t>
      </w:r>
      <w:r w:rsidRPr="00715BA2">
        <w:t>%</w:t>
      </w:r>
      <w:r>
        <w:t xml:space="preserve">.  This </w:t>
      </w:r>
      <w:r w:rsidRPr="00357C9E">
        <w:t>calculation is shown in Exhibit KCH-</w:t>
      </w:r>
      <w:r w:rsidR="00016D45" w:rsidRPr="00357C9E">
        <w:t>7</w:t>
      </w:r>
      <w:r w:rsidRPr="00357C9E">
        <w:t>.</w:t>
      </w:r>
      <w:r w:rsidRPr="00357C9E">
        <w:rPr>
          <w:rStyle w:val="FootnoteReference"/>
        </w:rPr>
        <w:footnoteReference w:id="67"/>
      </w:r>
      <w:r w:rsidRPr="00357C9E">
        <w:t xml:space="preserve"> The derivation of the </w:t>
      </w:r>
      <w:proofErr w:type="spellStart"/>
      <w:r w:rsidRPr="00357C9E">
        <w:t>A&amp;E</w:t>
      </w:r>
      <w:proofErr w:type="spellEnd"/>
      <w:r w:rsidRPr="00357C9E">
        <w:t>/4CP class allocation factors using this correct system load factor is presented in Exhibit KCH-</w:t>
      </w:r>
      <w:r w:rsidR="00016D45" w:rsidRPr="00357C9E">
        <w:t>8</w:t>
      </w:r>
      <w:r w:rsidRPr="00357C9E">
        <w:t xml:space="preserve">.  </w:t>
      </w:r>
    </w:p>
    <w:p w14:paraId="12CCD4F5" w14:textId="3267817A" w:rsidR="00376DE9" w:rsidRDefault="00376DE9" w:rsidP="00376DE9">
      <w:pPr>
        <w:pStyle w:val="Heading3"/>
      </w:pPr>
      <w:bookmarkStart w:id="20" w:name="_Toc85714087"/>
      <w:r>
        <w:t>Peaking Generation Unit Allocation</w:t>
      </w:r>
      <w:bookmarkEnd w:id="20"/>
      <w:r>
        <w:t xml:space="preserve"> </w:t>
      </w:r>
    </w:p>
    <w:p w14:paraId="39666C30" w14:textId="6A04DECD" w:rsidR="001006D1" w:rsidRDefault="00376DE9" w:rsidP="009F6AC1">
      <w:pPr>
        <w:pStyle w:val="TestimonyQ"/>
      </w:pPr>
      <w:r>
        <w:t xml:space="preserve">HOW DO YOU RESPOND TO </w:t>
      </w:r>
      <w:proofErr w:type="spellStart"/>
      <w:r>
        <w:t>EPE’S</w:t>
      </w:r>
      <w:proofErr w:type="spellEnd"/>
      <w:r>
        <w:t xml:space="preserve"> PROPOSAL TO CHANGE FROM THE </w:t>
      </w:r>
      <w:proofErr w:type="spellStart"/>
      <w:r w:rsidRPr="00376DE9">
        <w:t>A&amp;E</w:t>
      </w:r>
      <w:proofErr w:type="spellEnd"/>
      <w:r w:rsidRPr="00376DE9">
        <w:t xml:space="preserve">/4CP </w:t>
      </w:r>
      <w:r>
        <w:t xml:space="preserve">METHOD TO A 4CP METHOD TO ALLOCATE </w:t>
      </w:r>
      <w:r w:rsidR="00724764">
        <w:t xml:space="preserve">THE COST OF </w:t>
      </w:r>
      <w:r>
        <w:t xml:space="preserve">ITS pEAKING UNITS? </w:t>
      </w:r>
      <w:r w:rsidR="001F639B">
        <w:t xml:space="preserve"> </w:t>
      </w:r>
    </w:p>
    <w:p w14:paraId="5C2395BC" w14:textId="3FB7B3D7" w:rsidR="00376DE9" w:rsidRDefault="00376DE9" w:rsidP="009F6AC1">
      <w:pPr>
        <w:pStyle w:val="ANSWER"/>
      </w:pPr>
      <w:r>
        <w:t xml:space="preserve">I recommend that the </w:t>
      </w:r>
      <w:proofErr w:type="spellStart"/>
      <w:r>
        <w:t>A&amp;E</w:t>
      </w:r>
      <w:proofErr w:type="spellEnd"/>
      <w:r>
        <w:t xml:space="preserve">/4CP method, with the </w:t>
      </w:r>
      <w:r w:rsidR="00B261DA">
        <w:t xml:space="preserve">corrections </w:t>
      </w:r>
      <w:r>
        <w:t xml:space="preserve">I describe above, be applied to </w:t>
      </w:r>
      <w:r w:rsidR="00724764">
        <w:t xml:space="preserve">the entirety of </w:t>
      </w:r>
      <w:proofErr w:type="spellStart"/>
      <w:r>
        <w:t>EPE’s</w:t>
      </w:r>
      <w:proofErr w:type="spellEnd"/>
      <w:r>
        <w:t xml:space="preserve"> generation demand costs.  The </w:t>
      </w:r>
      <w:proofErr w:type="spellStart"/>
      <w:r>
        <w:t>A</w:t>
      </w:r>
      <w:r w:rsidR="00D157E4">
        <w:t>&amp;E</w:t>
      </w:r>
      <w:proofErr w:type="spellEnd"/>
      <w:r>
        <w:t xml:space="preserve">/4CP method is a robust cost allocation method that can properly be used to allocate a utility’s entire generation fleet. </w:t>
      </w:r>
      <w:r w:rsidR="00541C15">
        <w:t xml:space="preserve"> </w:t>
      </w:r>
      <w:r>
        <w:t>It is neither necessary nor desirable to allocate individual generation facilities piecemeal on a different basis.</w:t>
      </w:r>
      <w:r w:rsidR="00D157E4">
        <w:t xml:space="preserve">  </w:t>
      </w:r>
    </w:p>
    <w:p w14:paraId="4E0B3E26" w14:textId="3AAA034C" w:rsidR="00D157E4" w:rsidRPr="00D157E4" w:rsidRDefault="00D157E4" w:rsidP="00F1383A">
      <w:pPr>
        <w:pStyle w:val="BodyText"/>
      </w:pPr>
      <w:r>
        <w:t xml:space="preserve">Further, my recommended correction to the load factor utilized in the </w:t>
      </w:r>
      <w:proofErr w:type="spellStart"/>
      <w:r>
        <w:t>A&amp;E</w:t>
      </w:r>
      <w:proofErr w:type="spellEnd"/>
      <w:r>
        <w:t xml:space="preserve">/4CP calculation to be based on the 1CP will place the proper emphasis on </w:t>
      </w:r>
      <w:proofErr w:type="spellStart"/>
      <w:r>
        <w:t>EPE’s</w:t>
      </w:r>
      <w:proofErr w:type="spellEnd"/>
      <w:r>
        <w:t xml:space="preserve"> system peak demand for cost allocation purposes.  It is not necessary to carve out </w:t>
      </w:r>
      <w:proofErr w:type="spellStart"/>
      <w:r>
        <w:t>EPE’s</w:t>
      </w:r>
      <w:proofErr w:type="spellEnd"/>
      <w:r>
        <w:t xml:space="preserve"> peaking units for a different allocation approach than the rest of its generation fleet. </w:t>
      </w:r>
    </w:p>
    <w:p w14:paraId="1B7814AC" w14:textId="274D4A56" w:rsidR="00376DE9" w:rsidRDefault="00724764" w:rsidP="00247754">
      <w:pPr>
        <w:pStyle w:val="BodyText"/>
      </w:pPr>
      <w:r>
        <w:lastRenderedPageBreak/>
        <w:t xml:space="preserve">For consistency, I </w:t>
      </w:r>
      <w:r w:rsidR="00FF6EB2">
        <w:t xml:space="preserve">also recommend using my corrected </w:t>
      </w:r>
      <w:proofErr w:type="spellStart"/>
      <w:r w:rsidR="00FF6EB2">
        <w:t>A&amp;E</w:t>
      </w:r>
      <w:proofErr w:type="spellEnd"/>
      <w:r w:rsidR="00FF6EB2">
        <w:t xml:space="preserve">/4CP allocator to allocate the non-firm revenue credit to firm classes, rather than </w:t>
      </w:r>
      <w:proofErr w:type="spellStart"/>
      <w:r w:rsidR="00FF6EB2">
        <w:t>EPE’s</w:t>
      </w:r>
      <w:proofErr w:type="spellEnd"/>
      <w:r w:rsidR="00FF6EB2">
        <w:t xml:space="preserve"> recommended production 4CP allocator. </w:t>
      </w:r>
    </w:p>
    <w:p w14:paraId="6AC2537C" w14:textId="4BDDD43C" w:rsidR="00FD1485" w:rsidRDefault="00FD1485" w:rsidP="00FD1485">
      <w:pPr>
        <w:pStyle w:val="Heading3"/>
      </w:pPr>
      <w:bookmarkStart w:id="21" w:name="_Toc85714088"/>
      <w:r>
        <w:t xml:space="preserve">Palo Verde </w:t>
      </w:r>
      <w:proofErr w:type="spellStart"/>
      <w:r>
        <w:t>O&amp;M</w:t>
      </w:r>
      <w:proofErr w:type="spellEnd"/>
      <w:r>
        <w:t xml:space="preserve"> </w:t>
      </w:r>
      <w:r w:rsidR="006E753D">
        <w:t xml:space="preserve">Expense </w:t>
      </w:r>
      <w:r>
        <w:t>Allocation</w:t>
      </w:r>
      <w:bookmarkEnd w:id="21"/>
      <w:r>
        <w:t xml:space="preserve"> </w:t>
      </w:r>
    </w:p>
    <w:p w14:paraId="3A940988" w14:textId="628FEAED" w:rsidR="00581B72" w:rsidRPr="00096076" w:rsidRDefault="00581B72" w:rsidP="00581B72">
      <w:pPr>
        <w:pStyle w:val="TestimonyQ"/>
      </w:pPr>
      <w:r>
        <w:t xml:space="preserve">HOW DOES </w:t>
      </w:r>
      <w:proofErr w:type="spellStart"/>
      <w:r>
        <w:t>EPE</w:t>
      </w:r>
      <w:proofErr w:type="spellEnd"/>
      <w:r>
        <w:t xml:space="preserve"> ALLOCATE THE </w:t>
      </w:r>
      <w:proofErr w:type="spellStart"/>
      <w:r>
        <w:t>PVNGS</w:t>
      </w:r>
      <w:proofErr w:type="spellEnd"/>
      <w:r w:rsidR="001F7611">
        <w:t xml:space="preserve"> GENERATION</w:t>
      </w:r>
      <w:r>
        <w:t xml:space="preserve"> </w:t>
      </w:r>
      <w:proofErr w:type="spellStart"/>
      <w:r>
        <w:t>O&amp;M</w:t>
      </w:r>
      <w:proofErr w:type="spellEnd"/>
      <w:r>
        <w:t xml:space="preserve"> </w:t>
      </w:r>
      <w:r w:rsidR="006E753D">
        <w:t>EXPENSE</w:t>
      </w:r>
      <w:r>
        <w:t xml:space="preserve">S? </w:t>
      </w:r>
    </w:p>
    <w:p w14:paraId="5C3E6B57" w14:textId="378BE94B" w:rsidR="00581B72" w:rsidRDefault="00581B72" w:rsidP="00581B72">
      <w:pPr>
        <w:pStyle w:val="ANSWER"/>
      </w:pPr>
      <w:proofErr w:type="spellStart"/>
      <w:r w:rsidRPr="008D54AD">
        <w:t>EPE</w:t>
      </w:r>
      <w:proofErr w:type="spellEnd"/>
      <w:r w:rsidRPr="008D54AD">
        <w:t xml:space="preserve"> </w:t>
      </w:r>
      <w:r w:rsidR="001F7611">
        <w:t xml:space="preserve">allocates Palo Verde generation </w:t>
      </w:r>
      <w:proofErr w:type="spellStart"/>
      <w:r w:rsidR="001F7611">
        <w:t>O&amp;M</w:t>
      </w:r>
      <w:proofErr w:type="spellEnd"/>
      <w:r w:rsidR="001F7611">
        <w:t xml:space="preserve"> expenses using a combination of </w:t>
      </w:r>
      <w:proofErr w:type="spellStart"/>
      <w:r w:rsidR="001F7611">
        <w:t>A&amp;E</w:t>
      </w:r>
      <w:proofErr w:type="spellEnd"/>
      <w:r w:rsidR="001F7611">
        <w:t>/4CP and energy allocators.</w:t>
      </w:r>
      <w:r w:rsidR="001F7611">
        <w:rPr>
          <w:rStyle w:val="FootnoteReference"/>
        </w:rPr>
        <w:footnoteReference w:id="68"/>
      </w:r>
    </w:p>
    <w:p w14:paraId="5169ED91" w14:textId="30E1EAE1" w:rsidR="001F7611" w:rsidRPr="00096076" w:rsidRDefault="001F7611" w:rsidP="001F7611">
      <w:pPr>
        <w:pStyle w:val="TestimonyQ"/>
      </w:pPr>
      <w:r>
        <w:t xml:space="preserve">DOES </w:t>
      </w:r>
      <w:proofErr w:type="spellStart"/>
      <w:r>
        <w:t>EPE</w:t>
      </w:r>
      <w:proofErr w:type="spellEnd"/>
      <w:r>
        <w:t xml:space="preserve"> PROPOSE TO CHANGE THE ALLOCATION METHOD USED FOR CERTAIN </w:t>
      </w:r>
      <w:proofErr w:type="spellStart"/>
      <w:r>
        <w:t>PVNGS</w:t>
      </w:r>
      <w:proofErr w:type="spellEnd"/>
      <w:r>
        <w:t xml:space="preserve"> </w:t>
      </w:r>
      <w:proofErr w:type="spellStart"/>
      <w:r>
        <w:t>O&amp;M</w:t>
      </w:r>
      <w:proofErr w:type="spellEnd"/>
      <w:r>
        <w:t xml:space="preserve"> EXPENSES RELATIVE TO ITS LAST RATE CASE FILING, </w:t>
      </w:r>
      <w:r w:rsidR="00BD48EE">
        <w:t xml:space="preserve">DOCKET NO. </w:t>
      </w:r>
      <w:r w:rsidR="00BD48EE" w:rsidRPr="00BD48EE">
        <w:t>46831</w:t>
      </w:r>
      <w:r w:rsidR="00BD48EE">
        <w:t>?</w:t>
      </w:r>
    </w:p>
    <w:p w14:paraId="67CBC03F" w14:textId="5A414456" w:rsidR="001F7611" w:rsidRDefault="00BD48EE" w:rsidP="001F7611">
      <w:pPr>
        <w:pStyle w:val="ANSWER"/>
      </w:pPr>
      <w:r>
        <w:t xml:space="preserve">Yes, </w:t>
      </w:r>
      <w:proofErr w:type="spellStart"/>
      <w:r>
        <w:t>EPE</w:t>
      </w:r>
      <w:proofErr w:type="spellEnd"/>
      <w:r>
        <w:t xml:space="preserve"> has changed from allocating FERC Accounts 519, 520, and 523 using </w:t>
      </w:r>
      <w:proofErr w:type="spellStart"/>
      <w:r>
        <w:t>A&amp;E</w:t>
      </w:r>
      <w:proofErr w:type="spellEnd"/>
      <w:r>
        <w:t>/4CP to an energy allocator.</w:t>
      </w:r>
      <w:r w:rsidR="006B71F8">
        <w:rPr>
          <w:rStyle w:val="FootnoteReference"/>
        </w:rPr>
        <w:footnoteReference w:id="69"/>
      </w:r>
      <w:r>
        <w:t xml:space="preserve"> </w:t>
      </w:r>
    </w:p>
    <w:p w14:paraId="24E9558A" w14:textId="185BD451" w:rsidR="001F7611" w:rsidRPr="00FE11A1" w:rsidRDefault="00BD48EE" w:rsidP="00FE11A1">
      <w:pPr>
        <w:pStyle w:val="TestimonyQ"/>
      </w:pPr>
      <w:r w:rsidRPr="00FE11A1">
        <w:t xml:space="preserve">DO YOU AGREE THAT ENERGY IS AN APPROPRIATE ALLOCATION BASIS FOR NON-FUEL </w:t>
      </w:r>
      <w:proofErr w:type="spellStart"/>
      <w:r w:rsidRPr="00FE11A1">
        <w:t>PVNGS</w:t>
      </w:r>
      <w:proofErr w:type="spellEnd"/>
      <w:r w:rsidRPr="00FE11A1">
        <w:t xml:space="preserve"> </w:t>
      </w:r>
      <w:proofErr w:type="spellStart"/>
      <w:r w:rsidRPr="00FE11A1">
        <w:t>O&amp;M</w:t>
      </w:r>
      <w:proofErr w:type="spellEnd"/>
      <w:r w:rsidRPr="00FE11A1">
        <w:t xml:space="preserve"> EXPENSES? </w:t>
      </w:r>
    </w:p>
    <w:p w14:paraId="0C86D34F" w14:textId="2E97D34E" w:rsidR="00BD48EE" w:rsidRDefault="00BD48EE" w:rsidP="00BD48EE">
      <w:pPr>
        <w:pStyle w:val="ANSWER"/>
      </w:pPr>
      <w:r>
        <w:t xml:space="preserve">No, </w:t>
      </w:r>
      <w:proofErr w:type="spellStart"/>
      <w:r>
        <w:t>PVNGS</w:t>
      </w:r>
      <w:proofErr w:type="spellEnd"/>
      <w:r>
        <w:t xml:space="preserve"> </w:t>
      </w:r>
      <w:proofErr w:type="spellStart"/>
      <w:r>
        <w:t>O&amp;M</w:t>
      </w:r>
      <w:proofErr w:type="spellEnd"/>
      <w:r>
        <w:t xml:space="preserve"> expenses </w:t>
      </w:r>
      <w:r w:rsidRPr="00BD48EE">
        <w:t>are a pass-through of costs from A</w:t>
      </w:r>
      <w:r>
        <w:t xml:space="preserve">PS, based on </w:t>
      </w:r>
      <w:proofErr w:type="spellStart"/>
      <w:r>
        <w:t>EPE’s</w:t>
      </w:r>
      <w:proofErr w:type="spellEnd"/>
      <w:r>
        <w:t xml:space="preserve"> 15.8% capacity share of </w:t>
      </w:r>
      <w:proofErr w:type="spellStart"/>
      <w:r>
        <w:t>PVNGS</w:t>
      </w:r>
      <w:proofErr w:type="spellEnd"/>
      <w:r>
        <w:t xml:space="preserve">.   These costs are more </w:t>
      </w:r>
      <w:r w:rsidRPr="00BD48EE">
        <w:t>reasonably treated as a fixed cost</w:t>
      </w:r>
      <w:r>
        <w:t xml:space="preserve"> related to </w:t>
      </w:r>
      <w:proofErr w:type="spellStart"/>
      <w:r w:rsidRPr="00BD48EE">
        <w:t>EPE’s</w:t>
      </w:r>
      <w:proofErr w:type="spellEnd"/>
      <w:r w:rsidRPr="00BD48EE">
        <w:t xml:space="preserve"> capacity share than</w:t>
      </w:r>
      <w:r w:rsidR="006E753D">
        <w:t xml:space="preserve"> </w:t>
      </w:r>
      <w:r w:rsidRPr="00BD48EE">
        <w:t xml:space="preserve">variable energy throughput.  </w:t>
      </w:r>
    </w:p>
    <w:p w14:paraId="6CAC22EB" w14:textId="65327CDE" w:rsidR="00BD48EE" w:rsidRDefault="00BD48EE" w:rsidP="00FE11A1">
      <w:pPr>
        <w:pStyle w:val="TestimonyQ"/>
      </w:pPr>
      <w:r>
        <w:t xml:space="preserve">WHAT IS YOUR RECOMMENDATION REGARDING THE ALLOCATION OF </w:t>
      </w:r>
      <w:proofErr w:type="spellStart"/>
      <w:r>
        <w:t>PVNGS</w:t>
      </w:r>
      <w:proofErr w:type="spellEnd"/>
      <w:r>
        <w:t xml:space="preserve"> </w:t>
      </w:r>
      <w:proofErr w:type="spellStart"/>
      <w:r>
        <w:t>O&amp;M</w:t>
      </w:r>
      <w:proofErr w:type="spellEnd"/>
      <w:r>
        <w:t xml:space="preserve"> EXPENSES? </w:t>
      </w:r>
    </w:p>
    <w:p w14:paraId="5CED361A" w14:textId="1990738A" w:rsidR="00A94528" w:rsidRPr="00A94528" w:rsidRDefault="00A94528" w:rsidP="00A94528">
      <w:pPr>
        <w:pStyle w:val="ANSWER"/>
      </w:pPr>
      <w:r>
        <w:t xml:space="preserve">I recommend that </w:t>
      </w:r>
      <w:proofErr w:type="spellStart"/>
      <w:r>
        <w:t>PVNGS</w:t>
      </w:r>
      <w:proofErr w:type="spellEnd"/>
      <w:r>
        <w:t xml:space="preserve"> non-fuel generation </w:t>
      </w:r>
      <w:proofErr w:type="spellStart"/>
      <w:r>
        <w:t>O&amp;M</w:t>
      </w:r>
      <w:proofErr w:type="spellEnd"/>
      <w:r>
        <w:t xml:space="preserve"> expenses be allocated using </w:t>
      </w:r>
      <w:proofErr w:type="spellStart"/>
      <w:r w:rsidRPr="00A94528">
        <w:t>A&amp;E</w:t>
      </w:r>
      <w:proofErr w:type="spellEnd"/>
      <w:r w:rsidRPr="00A94528">
        <w:t>/4CP</w:t>
      </w:r>
      <w:r>
        <w:t xml:space="preserve">.   I thus recommend that </w:t>
      </w:r>
      <w:proofErr w:type="spellStart"/>
      <w:r>
        <w:t>EPE’s</w:t>
      </w:r>
      <w:proofErr w:type="spellEnd"/>
      <w:r>
        <w:t xml:space="preserve"> proposed allocation of Accounts 519, 520, 523, 530, 531, and 532 on an energy basis be replaced with </w:t>
      </w:r>
      <w:r w:rsidR="00A07067">
        <w:t xml:space="preserve">an </w:t>
      </w:r>
      <w:proofErr w:type="spellStart"/>
      <w:r w:rsidRPr="00A94528">
        <w:t>A&amp;E</w:t>
      </w:r>
      <w:proofErr w:type="spellEnd"/>
      <w:r w:rsidRPr="00A94528">
        <w:t>/4C</w:t>
      </w:r>
      <w:r w:rsidR="002F14C4">
        <w:t xml:space="preserve">P allocation. </w:t>
      </w:r>
    </w:p>
    <w:p w14:paraId="6A394BCE" w14:textId="77777777" w:rsidR="00523FF5" w:rsidRDefault="00523FF5" w:rsidP="00523FF5">
      <w:pPr>
        <w:suppressLineNumbers/>
        <w:rPr>
          <w:b/>
          <w:u w:val="single"/>
        </w:rPr>
      </w:pPr>
      <w:bookmarkStart w:id="22" w:name="_Toc85714089"/>
      <w:r>
        <w:br w:type="page"/>
      </w:r>
    </w:p>
    <w:p w14:paraId="44BBB586" w14:textId="0588BFF8" w:rsidR="00514C39" w:rsidRDefault="00096076" w:rsidP="008D54AD">
      <w:pPr>
        <w:pStyle w:val="Heading3"/>
      </w:pPr>
      <w:r w:rsidRPr="00096076">
        <w:lastRenderedPageBreak/>
        <w:t xml:space="preserve">Generation System Control &amp; Load Dispatching </w:t>
      </w:r>
      <w:r w:rsidR="008D54AD">
        <w:t>Allocation</w:t>
      </w:r>
      <w:bookmarkEnd w:id="22"/>
      <w:r w:rsidR="008D54AD">
        <w:t xml:space="preserve"> </w:t>
      </w:r>
    </w:p>
    <w:p w14:paraId="286C1518" w14:textId="3DB9BF08" w:rsidR="008D54AD" w:rsidRPr="00096076" w:rsidRDefault="008D54AD" w:rsidP="0035042D">
      <w:pPr>
        <w:pStyle w:val="TestimonyQ"/>
      </w:pPr>
      <w:r>
        <w:t xml:space="preserve">HOW DOES </w:t>
      </w:r>
      <w:proofErr w:type="spellStart"/>
      <w:r>
        <w:t>EPE</w:t>
      </w:r>
      <w:proofErr w:type="spellEnd"/>
      <w:r>
        <w:t xml:space="preserve"> </w:t>
      </w:r>
      <w:r w:rsidRPr="008D54AD">
        <w:t>PROPOSE TO ALLOCATE Generation System Control and Load Dispatching</w:t>
      </w:r>
      <w:r>
        <w:t xml:space="preserve"> (ACCOUNT 556)</w:t>
      </w:r>
      <w:r w:rsidR="00C67351">
        <w:t xml:space="preserve"> EXPENSE</w:t>
      </w:r>
      <w:r>
        <w:t xml:space="preserve">? </w:t>
      </w:r>
    </w:p>
    <w:p w14:paraId="29514F72" w14:textId="031833DE" w:rsidR="001006D1" w:rsidRPr="008D54AD" w:rsidRDefault="001F639B">
      <w:pPr>
        <w:pStyle w:val="ANSWER"/>
      </w:pPr>
      <w:proofErr w:type="spellStart"/>
      <w:r w:rsidRPr="008D54AD">
        <w:t>EPE</w:t>
      </w:r>
      <w:proofErr w:type="spellEnd"/>
      <w:r w:rsidRPr="008D54AD">
        <w:t xml:space="preserve"> </w:t>
      </w:r>
      <w:r w:rsidR="008D54AD" w:rsidRPr="008D54AD">
        <w:t xml:space="preserve">allocates </w:t>
      </w:r>
      <w:r w:rsidRPr="008D54AD">
        <w:t xml:space="preserve">Account 556 </w:t>
      </w:r>
      <w:r w:rsidR="008D54AD" w:rsidRPr="008D54AD">
        <w:rPr>
          <w:bCs/>
        </w:rPr>
        <w:t xml:space="preserve">using </w:t>
      </w:r>
      <w:r w:rsidRPr="008D54AD">
        <w:rPr>
          <w:bCs/>
        </w:rPr>
        <w:t>a variant of the Average &amp; Excess method utilizing 12 coincident peaks</w:t>
      </w:r>
      <w:r w:rsidR="008D54AD" w:rsidRPr="008D54AD">
        <w:rPr>
          <w:bCs/>
        </w:rPr>
        <w:t xml:space="preserve">, or </w:t>
      </w:r>
      <w:proofErr w:type="spellStart"/>
      <w:r w:rsidR="008D54AD" w:rsidRPr="008D54AD">
        <w:rPr>
          <w:bCs/>
        </w:rPr>
        <w:t>A&amp;E</w:t>
      </w:r>
      <w:proofErr w:type="spellEnd"/>
      <w:r w:rsidR="008D54AD" w:rsidRPr="008D54AD">
        <w:rPr>
          <w:bCs/>
        </w:rPr>
        <w:t>/12CP</w:t>
      </w:r>
      <w:r w:rsidRPr="008D54AD">
        <w:rPr>
          <w:bCs/>
        </w:rPr>
        <w:t>.</w:t>
      </w:r>
      <w:r w:rsidRPr="008D54AD">
        <w:rPr>
          <w:rStyle w:val="FootnoteReference"/>
          <w:bCs/>
        </w:rPr>
        <w:footnoteReference w:id="70"/>
      </w:r>
      <w:r w:rsidRPr="008D54AD">
        <w:rPr>
          <w:bCs/>
        </w:rPr>
        <w:t xml:space="preserve"> </w:t>
      </w:r>
    </w:p>
    <w:p w14:paraId="2F61925F" w14:textId="0A7AE3B5" w:rsidR="001006D1" w:rsidRDefault="001F639B">
      <w:pPr>
        <w:pStyle w:val="TestimonyQ"/>
      </w:pPr>
      <w:r>
        <w:t xml:space="preserve">WHAT IS YOUR RECOMMENDATION REGARDING THE ALLOCATION OF ACCOUNT 556? </w:t>
      </w:r>
    </w:p>
    <w:p w14:paraId="4D3904B4" w14:textId="6790998C" w:rsidR="001006D1" w:rsidRDefault="001F639B">
      <w:pPr>
        <w:pStyle w:val="ANSWER"/>
      </w:pPr>
      <w:r>
        <w:t xml:space="preserve">I recommend that Account 556 be allocated using the </w:t>
      </w:r>
      <w:proofErr w:type="spellStart"/>
      <w:r>
        <w:t>A&amp;E</w:t>
      </w:r>
      <w:proofErr w:type="spellEnd"/>
      <w:r>
        <w:t xml:space="preserve">/4CP allocator, consistent with </w:t>
      </w:r>
      <w:proofErr w:type="spellStart"/>
      <w:r>
        <w:t>EPE’s</w:t>
      </w:r>
      <w:proofErr w:type="spellEnd"/>
      <w:r>
        <w:t xml:space="preserve"> allocation</w:t>
      </w:r>
      <w:r w:rsidR="00781FB7">
        <w:t xml:space="preserve"> of</w:t>
      </w:r>
      <w:r>
        <w:t xml:space="preserve"> </w:t>
      </w:r>
      <w:r w:rsidR="008E082D">
        <w:t>most generation demand costs</w:t>
      </w:r>
      <w:r>
        <w:t xml:space="preserve">.  The </w:t>
      </w:r>
      <w:proofErr w:type="spellStart"/>
      <w:r>
        <w:t>A&amp;E</w:t>
      </w:r>
      <w:proofErr w:type="spellEnd"/>
      <w:r>
        <w:t xml:space="preserve">/4CP method places greater emphasis on </w:t>
      </w:r>
      <w:proofErr w:type="spellStart"/>
      <w:r>
        <w:t>EPE’s</w:t>
      </w:r>
      <w:proofErr w:type="spellEnd"/>
      <w:r>
        <w:t xml:space="preserve"> summer peaks, and therefore gives greater weight to the months in which meeting the system’s demand is the most challenging. </w:t>
      </w:r>
      <w:r w:rsidR="00FC6296">
        <w:t xml:space="preserve"> </w:t>
      </w:r>
      <w:r w:rsidRPr="003F5608">
        <w:t xml:space="preserve">My recommended approach is consistent with the allocation method for Account 556 approved for </w:t>
      </w:r>
      <w:r w:rsidR="000A53E6" w:rsidRPr="003F5608">
        <w:t>SWEP</w:t>
      </w:r>
      <w:r w:rsidR="000A53E6">
        <w:t>C</w:t>
      </w:r>
      <w:r w:rsidR="000A53E6" w:rsidRPr="003F5608">
        <w:t>O</w:t>
      </w:r>
      <w:r w:rsidR="00B261DA">
        <w:rPr>
          <w:rStyle w:val="FootnoteReference"/>
        </w:rPr>
        <w:footnoteReference w:id="71"/>
      </w:r>
      <w:r w:rsidRPr="003F5608">
        <w:t xml:space="preserve"> and </w:t>
      </w:r>
      <w:proofErr w:type="spellStart"/>
      <w:r w:rsidR="006A7EEE" w:rsidRPr="003F5608">
        <w:t>ETI</w:t>
      </w:r>
      <w:proofErr w:type="spellEnd"/>
      <w:r w:rsidR="000A53E6">
        <w:t>.</w:t>
      </w:r>
      <w:r w:rsidR="00681EA1">
        <w:rPr>
          <w:rStyle w:val="FootnoteReference"/>
        </w:rPr>
        <w:footnoteReference w:id="72"/>
      </w:r>
    </w:p>
    <w:p w14:paraId="1638C3E3" w14:textId="7A50CE5F" w:rsidR="001006D1" w:rsidRPr="00A70698" w:rsidRDefault="001F639B" w:rsidP="00BB377B">
      <w:pPr>
        <w:pStyle w:val="Heading3"/>
      </w:pPr>
      <w:bookmarkStart w:id="24" w:name="_Toc85714090"/>
      <w:r w:rsidRPr="00A70698">
        <w:t>Transmission Load Dispatching Expense</w:t>
      </w:r>
      <w:r w:rsidR="008E082D" w:rsidRPr="00A70698">
        <w:t xml:space="preserve"> Allocation</w:t>
      </w:r>
      <w:bookmarkEnd w:id="24"/>
      <w:r w:rsidR="008E082D" w:rsidRPr="00A70698">
        <w:t xml:space="preserve"> </w:t>
      </w:r>
    </w:p>
    <w:p w14:paraId="14CD2D86" w14:textId="049A1159" w:rsidR="00A70698" w:rsidRPr="00A70698" w:rsidRDefault="00A70698" w:rsidP="00A70698">
      <w:pPr>
        <w:pStyle w:val="TestimonyQ"/>
      </w:pPr>
      <w:r w:rsidRPr="00A70698">
        <w:t xml:space="preserve">GENERALLY, DO YOU SUPPORT </w:t>
      </w:r>
      <w:proofErr w:type="spellStart"/>
      <w:r w:rsidRPr="00A70698">
        <w:t>EPE’S</w:t>
      </w:r>
      <w:proofErr w:type="spellEnd"/>
      <w:r w:rsidRPr="00A70698">
        <w:t xml:space="preserve"> USE OF THE 4CP METHOD TO ALLOCATE </w:t>
      </w:r>
      <w:r w:rsidR="00781FB7">
        <w:t>ITS</w:t>
      </w:r>
      <w:r w:rsidRPr="00A70698">
        <w:t xml:space="preserve"> TRANSMISSION COSTS?</w:t>
      </w:r>
    </w:p>
    <w:p w14:paraId="1E58346A" w14:textId="5ADFA5F2" w:rsidR="00A70698" w:rsidRPr="00A70698" w:rsidRDefault="00A70698" w:rsidP="00A70698">
      <w:pPr>
        <w:pStyle w:val="ANSWER"/>
      </w:pPr>
      <w:r w:rsidRPr="00A70698">
        <w:t>Yes.  There is little basis for arguing that cost responsibility for transmission plant is anything but demand related.  Therefore, using a 100% demand allocator such as the 4CP method is appropriate</w:t>
      </w:r>
      <w:r w:rsidR="00D86A7B">
        <w:t>.</w:t>
      </w:r>
      <w:r w:rsidRPr="00A70698">
        <w:t xml:space="preserve">  In the case of </w:t>
      </w:r>
      <w:proofErr w:type="spellStart"/>
      <w:r w:rsidRPr="00A70698">
        <w:t>EPE</w:t>
      </w:r>
      <w:proofErr w:type="spellEnd"/>
      <w:r w:rsidRPr="00A70698">
        <w:t xml:space="preserve">, with its summer peaking demand profile, allocating transmission plant using each class’s share of system peak demand during the four summer months is reasonable. </w:t>
      </w:r>
      <w:r>
        <w:t xml:space="preserve"> </w:t>
      </w:r>
      <w:proofErr w:type="spellStart"/>
      <w:r>
        <w:t>EPE</w:t>
      </w:r>
      <w:proofErr w:type="spellEnd"/>
      <w:r>
        <w:t xml:space="preserve"> utilizes the 4CP method to allocate all transmission costs except for Load Dispatching expense. </w:t>
      </w:r>
    </w:p>
    <w:p w14:paraId="1ABF928A" w14:textId="5F148CCF" w:rsidR="001006D1" w:rsidRPr="0035042D" w:rsidRDefault="001F639B" w:rsidP="00523FF5">
      <w:pPr>
        <w:pStyle w:val="TestimonyQ"/>
        <w:keepNext/>
      </w:pPr>
      <w:r w:rsidRPr="0035042D">
        <w:lastRenderedPageBreak/>
        <w:t xml:space="preserve">HOW DOES </w:t>
      </w:r>
      <w:proofErr w:type="spellStart"/>
      <w:r w:rsidRPr="0035042D">
        <w:t>EPE</w:t>
      </w:r>
      <w:proofErr w:type="spellEnd"/>
      <w:r w:rsidRPr="0035042D">
        <w:t xml:space="preserve"> PROPOSE TO ALLOCATE </w:t>
      </w:r>
      <w:r w:rsidR="008E082D" w:rsidRPr="0035042D">
        <w:t>Transmission Load Dispatching (</w:t>
      </w:r>
      <w:r w:rsidRPr="0035042D">
        <w:t>ACCOUNT 561</w:t>
      </w:r>
      <w:r w:rsidR="008E082D" w:rsidRPr="0035042D">
        <w:t>)</w:t>
      </w:r>
      <w:r w:rsidR="00C67351" w:rsidRPr="0035042D">
        <w:t xml:space="preserve"> EXPENSE</w:t>
      </w:r>
      <w:r w:rsidRPr="0035042D">
        <w:t xml:space="preserve">? </w:t>
      </w:r>
    </w:p>
    <w:p w14:paraId="42657F04" w14:textId="62F452F8" w:rsidR="001006D1" w:rsidRDefault="001F639B" w:rsidP="00523FF5">
      <w:pPr>
        <w:pStyle w:val="ANSWER"/>
        <w:keepNext/>
      </w:pPr>
      <w:proofErr w:type="spellStart"/>
      <w:r>
        <w:t>EPE</w:t>
      </w:r>
      <w:proofErr w:type="spellEnd"/>
      <w:r>
        <w:t xml:space="preserve"> proposes to allocate Account 561 using the 12CP method.</w:t>
      </w:r>
      <w:r>
        <w:rPr>
          <w:rStyle w:val="FootnoteReference"/>
        </w:rPr>
        <w:footnoteReference w:id="73"/>
      </w:r>
    </w:p>
    <w:p w14:paraId="4AC68FD9" w14:textId="77777777" w:rsidR="001006D1" w:rsidRDefault="001F639B">
      <w:pPr>
        <w:pStyle w:val="TestimonyQ"/>
        <w:rPr>
          <w:u w:val="single"/>
        </w:rPr>
      </w:pPr>
      <w:r>
        <w:t xml:space="preserve">WHAT IS YOUR RECOMMENDATION REGARDING THE ALLOCATION OF ACCOUNT 561? </w:t>
      </w:r>
    </w:p>
    <w:p w14:paraId="3E89580A" w14:textId="18560E34" w:rsidR="001006D1" w:rsidRDefault="001F639B" w:rsidP="006A19B0">
      <w:pPr>
        <w:pStyle w:val="ANSWER"/>
      </w:pPr>
      <w:r>
        <w:t xml:space="preserve">I recommend that Account 561 be allocated using the 4CP method, consistent with all other transmission costs.  </w:t>
      </w:r>
      <w:r w:rsidRPr="00B93F99">
        <w:t xml:space="preserve">My recommendation is consistent with the Commission’s Substantive Rule </w:t>
      </w:r>
      <w:r w:rsidR="004B0807">
        <w:t>25.192</w:t>
      </w:r>
      <w:r w:rsidRPr="00B93F99">
        <w:t>,</w:t>
      </w:r>
      <w:r w:rsidR="004B0807">
        <w:t xml:space="preserve"> under</w:t>
      </w:r>
      <w:r w:rsidRPr="00B93F99">
        <w:t xml:space="preserve"> which ERCOT utilities recover Account 561 expenses in their transmission service rates on a 4CP basis.  Although </w:t>
      </w:r>
      <w:proofErr w:type="spellStart"/>
      <w:r w:rsidRPr="00B93F99">
        <w:t>EPE</w:t>
      </w:r>
      <w:proofErr w:type="spellEnd"/>
      <w:r w:rsidRPr="00B93F99">
        <w:t xml:space="preserve"> is not an ERCOT utility, </w:t>
      </w:r>
      <w:r w:rsidR="00333BA9" w:rsidRPr="00B93F99">
        <w:t>th</w:t>
      </w:r>
      <w:r w:rsidR="00333BA9">
        <w:t>is</w:t>
      </w:r>
      <w:r w:rsidR="00333BA9" w:rsidRPr="00B93F99">
        <w:t xml:space="preserve"> </w:t>
      </w:r>
      <w:r w:rsidRPr="00B93F99">
        <w:t>substantive rule provide</w:t>
      </w:r>
      <w:r w:rsidR="00333BA9">
        <w:t>s</w:t>
      </w:r>
      <w:r w:rsidRPr="00B93F99">
        <w:t xml:space="preserve"> useful guidance for the proper allocation of Account 561 costs.</w:t>
      </w:r>
      <w:r w:rsidR="00052D50">
        <w:t xml:space="preserve">  And it is appropriate to allocate transmission load dispatching expense in the same manner as the underlying asset</w:t>
      </w:r>
      <w:r w:rsidR="009D7205">
        <w:t>s</w:t>
      </w:r>
      <w:r w:rsidR="00052D50">
        <w:t>.</w:t>
      </w:r>
    </w:p>
    <w:p w14:paraId="4BE6A150" w14:textId="56CC052C" w:rsidR="0035042D" w:rsidRDefault="0035042D" w:rsidP="00BB377B">
      <w:pPr>
        <w:pStyle w:val="Heading3"/>
      </w:pPr>
      <w:bookmarkStart w:id="25" w:name="_Toc85714091"/>
      <w:r>
        <w:t>69 kV Transmission System Allocation</w:t>
      </w:r>
      <w:bookmarkEnd w:id="25"/>
      <w:r>
        <w:t xml:space="preserve"> </w:t>
      </w:r>
    </w:p>
    <w:p w14:paraId="69C76848" w14:textId="77777777" w:rsidR="0035042D" w:rsidRDefault="0035042D" w:rsidP="0035042D">
      <w:pPr>
        <w:pStyle w:val="TestimonyQ"/>
      </w:pPr>
      <w:r>
        <w:t xml:space="preserve">PLEASE BRIEFLY DESCRIBE </w:t>
      </w:r>
      <w:proofErr w:type="spellStart"/>
      <w:r>
        <w:t>EPE’S</w:t>
      </w:r>
      <w:proofErr w:type="spellEnd"/>
      <w:r>
        <w:t xml:space="preserve"> TRANSMISSION SYSTEM.  </w:t>
      </w:r>
    </w:p>
    <w:p w14:paraId="21F8736A" w14:textId="3FB6F3E1" w:rsidR="0035042D" w:rsidRDefault="0035042D" w:rsidP="0035042D">
      <w:pPr>
        <w:pStyle w:val="ANSWER"/>
      </w:pPr>
      <w:r>
        <w:t xml:space="preserve">According to the Direct Testimony of R. Clay Doyle, </w:t>
      </w:r>
      <w:proofErr w:type="spellStart"/>
      <w:r>
        <w:t>EPE</w:t>
      </w:r>
      <w:proofErr w:type="spellEnd"/>
      <w:r>
        <w:t xml:space="preserve"> owns, in whole or in part, approximately 946 miles of multiple 345 kV transmission lines, most of which are located within New Mexico.  </w:t>
      </w:r>
      <w:proofErr w:type="spellStart"/>
      <w:r>
        <w:t>EPE</w:t>
      </w:r>
      <w:proofErr w:type="spellEnd"/>
      <w:r>
        <w:t xml:space="preserve"> also has a</w:t>
      </w:r>
      <w:r w:rsidR="008F05A4">
        <w:t xml:space="preserve"> partial </w:t>
      </w:r>
      <w:r>
        <w:t xml:space="preserve">ownership interest in </w:t>
      </w:r>
      <w:r w:rsidR="008F05A4">
        <w:t xml:space="preserve">three </w:t>
      </w:r>
      <w:r>
        <w:t>500 kV transmission lines in Ariz</w:t>
      </w:r>
      <w:r w:rsidR="008F05A4">
        <w:t xml:space="preserve">ona </w:t>
      </w:r>
      <w:r>
        <w:t xml:space="preserve">from </w:t>
      </w:r>
      <w:proofErr w:type="spellStart"/>
      <w:r>
        <w:t>P</w:t>
      </w:r>
      <w:r w:rsidR="00781FB7">
        <w:t>VNGS</w:t>
      </w:r>
      <w:r w:rsidR="008F05A4">
        <w:t>’s</w:t>
      </w:r>
      <w:proofErr w:type="spellEnd"/>
      <w:r>
        <w:t xml:space="preserve"> switchyard to the Kyrene and </w:t>
      </w:r>
      <w:proofErr w:type="spellStart"/>
      <w:r>
        <w:t>Westwing</w:t>
      </w:r>
      <w:proofErr w:type="spellEnd"/>
      <w:r>
        <w:t xml:space="preserve"> substations in the Phoenix area.</w:t>
      </w:r>
      <w:r w:rsidR="008F05A4">
        <w:rPr>
          <w:rStyle w:val="FootnoteReference"/>
        </w:rPr>
        <w:footnoteReference w:id="74"/>
      </w:r>
      <w:r>
        <w:t xml:space="preserve"> </w:t>
      </w:r>
    </w:p>
    <w:p w14:paraId="53707A81" w14:textId="181329E9" w:rsidR="0035042D" w:rsidRDefault="0035042D" w:rsidP="00F1383A">
      <w:pPr>
        <w:pStyle w:val="BodyText"/>
      </w:pPr>
      <w:proofErr w:type="spellStart"/>
      <w:r>
        <w:t>EPE’s</w:t>
      </w:r>
      <w:proofErr w:type="spellEnd"/>
      <w:r>
        <w:t xml:space="preserve"> local high voltage transmission system consists of 115 kV lines and 69 kV lines in and around El Paso, Texas, and Las Cruces, New Mexico.</w:t>
      </w:r>
      <w:r>
        <w:rPr>
          <w:rStyle w:val="FootnoteReference"/>
        </w:rPr>
        <w:footnoteReference w:id="75"/>
      </w:r>
    </w:p>
    <w:p w14:paraId="1D188E44" w14:textId="77777777" w:rsidR="0035042D" w:rsidRDefault="0035042D" w:rsidP="00523FF5">
      <w:pPr>
        <w:pStyle w:val="TestimonyQ"/>
        <w:keepNext/>
      </w:pPr>
      <w:r>
        <w:lastRenderedPageBreak/>
        <w:t xml:space="preserve">HOW DOES </w:t>
      </w:r>
      <w:proofErr w:type="spellStart"/>
      <w:r>
        <w:t>EPE</w:t>
      </w:r>
      <w:proofErr w:type="spellEnd"/>
      <w:r>
        <w:t xml:space="preserve"> ALLOCATE THE COST OF ITS 69 kV TRANSMISSION LINES TO CUSTOMER CLASSES? </w:t>
      </w:r>
    </w:p>
    <w:p w14:paraId="521693A7" w14:textId="2518A1B5" w:rsidR="0035042D" w:rsidRDefault="0035042D" w:rsidP="00523FF5">
      <w:pPr>
        <w:pStyle w:val="ANSWER"/>
        <w:keepNext/>
      </w:pPr>
      <w:proofErr w:type="spellStart"/>
      <w:r>
        <w:t>EPE</w:t>
      </w:r>
      <w:proofErr w:type="spellEnd"/>
      <w:r>
        <w:t xml:space="preserve"> does not separate the cost of its 69 kV lines in its cost-of-service study</w:t>
      </w:r>
      <w:r w:rsidR="00BE6083">
        <w:t>.</w:t>
      </w:r>
      <w:r w:rsidR="00FC6296">
        <w:t xml:space="preserve"> </w:t>
      </w:r>
      <w:r>
        <w:t xml:space="preserve"> Therefore, all customers are allocated a portion of the 69 kV </w:t>
      </w:r>
      <w:r w:rsidR="00BE6083">
        <w:t xml:space="preserve">transmission </w:t>
      </w:r>
      <w:r>
        <w:t xml:space="preserve">line costs based on the 4CP allocator. </w:t>
      </w:r>
    </w:p>
    <w:p w14:paraId="472B5C69" w14:textId="77777777" w:rsidR="0035042D" w:rsidRDefault="0035042D" w:rsidP="0035042D">
      <w:pPr>
        <w:pStyle w:val="TestimonyQ"/>
      </w:pPr>
      <w:r>
        <w:t xml:space="preserve">IS it APPROPRIATE TO ALLOCATE 69 kV LINE COSTS TO CUSTOMER CLASSES SERVED AT 115 kV VOLTAGE? </w:t>
      </w:r>
    </w:p>
    <w:p w14:paraId="658513D1" w14:textId="5DF6E58E" w:rsidR="0035042D" w:rsidRDefault="0035042D" w:rsidP="0035042D">
      <w:pPr>
        <w:pStyle w:val="ANSWER"/>
        <w:rPr>
          <w:rFonts w:ascii="Times New Roman Bold" w:hAnsi="Times New Roman Bold"/>
          <w:caps/>
        </w:rPr>
      </w:pPr>
      <w:r>
        <w:t xml:space="preserve">No.  Customers who take service directly at 115 kV voltage generally do not utilize the 69 kV system.  It is not appropriate to allocate 69 kV line costs to </w:t>
      </w:r>
      <w:r w:rsidR="0058777E">
        <w:t xml:space="preserve">rate </w:t>
      </w:r>
      <w:r>
        <w:t xml:space="preserve">schedules served at 115 kV voltage </w:t>
      </w:r>
      <w:r w:rsidR="00781FB7">
        <w:t xml:space="preserve">on the same basis </w:t>
      </w:r>
      <w:r>
        <w:t xml:space="preserve">as other classes who directly utilize the 69 kV system. </w:t>
      </w:r>
    </w:p>
    <w:p w14:paraId="3D561371" w14:textId="04E2A76C" w:rsidR="0035042D" w:rsidRDefault="0035042D" w:rsidP="0035042D">
      <w:pPr>
        <w:pStyle w:val="TestimonyQ"/>
      </w:pPr>
      <w:r>
        <w:t xml:space="preserve">HAVE YOU CHANGED THE ALLOCATION OF 69 kV </w:t>
      </w:r>
      <w:r w:rsidR="00BB6BA5">
        <w:t xml:space="preserve">TRANSMISSION </w:t>
      </w:r>
      <w:r>
        <w:t xml:space="preserve">COSTS IN YOUR MODIFIED VERSION OF THE COST-OF-SERVICE MODEL?  </w:t>
      </w:r>
    </w:p>
    <w:p w14:paraId="2A3499B6" w14:textId="17294BB5" w:rsidR="0035042D" w:rsidRPr="00C832FC" w:rsidRDefault="0035042D" w:rsidP="009F6AC1">
      <w:pPr>
        <w:pStyle w:val="ANSWER"/>
      </w:pPr>
      <w:r>
        <w:t xml:space="preserve">No.  Since </w:t>
      </w:r>
      <w:proofErr w:type="spellStart"/>
      <w:r>
        <w:t>EPE</w:t>
      </w:r>
      <w:proofErr w:type="spellEnd"/>
      <w:r>
        <w:t xml:space="preserve"> does not separate its transmission costs into sub-functions based on voltage, I was not able to precisely reallocate the 69 kV costs in a manner excluding 115 kV </w:t>
      </w:r>
      <w:r w:rsidR="0058777E">
        <w:t xml:space="preserve">rate </w:t>
      </w:r>
      <w:r>
        <w:t xml:space="preserve">schedules.  However, </w:t>
      </w:r>
      <w:proofErr w:type="spellStart"/>
      <w:r>
        <w:t>EPE</w:t>
      </w:r>
      <w:proofErr w:type="spellEnd"/>
      <w:r>
        <w:t xml:space="preserve"> did </w:t>
      </w:r>
      <w:r w:rsidR="00BE6083">
        <w:t xml:space="preserve">estimate the 69 kV rate base, depreciation expense, </w:t>
      </w:r>
      <w:proofErr w:type="spellStart"/>
      <w:r w:rsidR="00BE6083">
        <w:t>O&amp;M</w:t>
      </w:r>
      <w:proofErr w:type="spellEnd"/>
      <w:r w:rsidR="00BE6083">
        <w:t xml:space="preserve"> expense, and property tax in response to discovery.</w:t>
      </w:r>
      <w:r w:rsidR="00BE6083">
        <w:rPr>
          <w:rStyle w:val="FootnoteReference"/>
        </w:rPr>
        <w:footnoteReference w:id="76"/>
      </w:r>
      <w:r w:rsidR="00BE6083">
        <w:t xml:space="preserve">  </w:t>
      </w:r>
      <w:r w:rsidRPr="00C832FC">
        <w:t xml:space="preserve">Using this information, I have estimated </w:t>
      </w:r>
      <w:r w:rsidRPr="00CE5357">
        <w:t>the incremental impact of reallocating this portion of costs to customer classes excluding the 115 kV schedules.  This calculation is presented in Exhibit KCH-</w:t>
      </w:r>
      <w:r w:rsidR="00012655" w:rsidRPr="00CE5357">
        <w:t>9</w:t>
      </w:r>
      <w:r w:rsidRPr="00CE5357">
        <w:t>.  Exhibit KCH-1</w:t>
      </w:r>
      <w:r w:rsidR="00012655" w:rsidRPr="00CE5357">
        <w:t>0</w:t>
      </w:r>
      <w:r w:rsidRPr="00CE5357">
        <w:t xml:space="preserve">, discussed </w:t>
      </w:r>
      <w:r w:rsidR="00A70698" w:rsidRPr="00CE5357">
        <w:t>below</w:t>
      </w:r>
      <w:r w:rsidRPr="00CE5357">
        <w:t>, incorporates this estimated impact into the summary of my modified version of the class cost-of-service study</w:t>
      </w:r>
      <w:r w:rsidRPr="00C832FC">
        <w:t xml:space="preserve">, using </w:t>
      </w:r>
      <w:proofErr w:type="spellStart"/>
      <w:r w:rsidRPr="00C832FC">
        <w:t>EPE’s</w:t>
      </w:r>
      <w:proofErr w:type="spellEnd"/>
      <w:r w:rsidRPr="00C832FC">
        <w:t xml:space="preserve"> proposed revenue requirement.  </w:t>
      </w:r>
    </w:p>
    <w:p w14:paraId="3EF9B5C8" w14:textId="77777777" w:rsidR="0035042D" w:rsidRDefault="0035042D" w:rsidP="0035042D">
      <w:pPr>
        <w:pStyle w:val="TestimonyQ"/>
      </w:pPr>
      <w:r>
        <w:t>WHAT IS YOUR RECOMMENDATION ON THIS ISSUE?</w:t>
      </w:r>
    </w:p>
    <w:p w14:paraId="0CBF8B42" w14:textId="77E50E00" w:rsidR="0035042D" w:rsidRDefault="0035042D" w:rsidP="0035042D">
      <w:pPr>
        <w:pStyle w:val="ANSWER"/>
      </w:pPr>
      <w:r>
        <w:t xml:space="preserve">I recommend that </w:t>
      </w:r>
      <w:proofErr w:type="spellStart"/>
      <w:r>
        <w:t>EPE</w:t>
      </w:r>
      <w:proofErr w:type="spellEnd"/>
      <w:r>
        <w:t xml:space="preserve"> separate the cost of its transmission system into (</w:t>
      </w:r>
      <w:proofErr w:type="spellStart"/>
      <w:r>
        <w:t>i</w:t>
      </w:r>
      <w:proofErr w:type="spellEnd"/>
      <w:r>
        <w:t>) 69 kV and (ii) 115 kV and above sub-functions for class cost-of-service purposes, and exclude customers served at 115 kV from the allocation of 69 kV costs.</w:t>
      </w:r>
      <w:r w:rsidR="00FC6296">
        <w:t xml:space="preserve"> </w:t>
      </w:r>
      <w:r>
        <w:t xml:space="preserve"> This additional granularity will allow for more precise cost allocation that is aligned with the manner in which costs are incurred.  </w:t>
      </w:r>
      <w:r>
        <w:lastRenderedPageBreak/>
        <w:t>This treatment is also consistent with the differentiation of transmission loss factors between 69 kV and 115 kV</w:t>
      </w:r>
      <w:r w:rsidR="00BE6083">
        <w:t xml:space="preserve">, as reflected in this case. </w:t>
      </w:r>
    </w:p>
    <w:p w14:paraId="6F0B1B83" w14:textId="77777777" w:rsidR="00781FB7" w:rsidRPr="00781FB7" w:rsidRDefault="00781FB7" w:rsidP="00101329">
      <w:pPr>
        <w:pStyle w:val="TestimonyQ"/>
      </w:pPr>
      <w:r w:rsidRPr="00781FB7">
        <w:t xml:space="preserve">DO YOU HAVE ANY COMMENTS ON THE TRANSMISSION LOSS FACTORS </w:t>
      </w:r>
      <w:proofErr w:type="spellStart"/>
      <w:r w:rsidRPr="00781FB7">
        <w:t>EPE</w:t>
      </w:r>
      <w:proofErr w:type="spellEnd"/>
      <w:r w:rsidRPr="00781FB7">
        <w:t xml:space="preserve"> APPLIES TO 69 KV AND 115 KV LOADS IN ITS COST ALLOCATION? </w:t>
      </w:r>
    </w:p>
    <w:p w14:paraId="182B67A7" w14:textId="0AD9D81F" w:rsidR="00781FB7" w:rsidRPr="00781FB7" w:rsidRDefault="00781FB7" w:rsidP="00F1383A">
      <w:pPr>
        <w:pStyle w:val="BodyText"/>
      </w:pPr>
      <w:r w:rsidRPr="00781FB7">
        <w:t xml:space="preserve">Yes.  </w:t>
      </w:r>
      <w:r>
        <w:t>I am concerned that the</w:t>
      </w:r>
      <w:r w:rsidRPr="00781FB7">
        <w:t xml:space="preserve"> loss factors </w:t>
      </w:r>
      <w:proofErr w:type="spellStart"/>
      <w:r w:rsidRPr="00781FB7">
        <w:t>EPE</w:t>
      </w:r>
      <w:proofErr w:type="spellEnd"/>
      <w:r w:rsidRPr="00781FB7">
        <w:t xml:space="preserve"> uses to calculate its class loads at source </w:t>
      </w:r>
      <w:r>
        <w:t>exhibit some anomalies.</w:t>
      </w:r>
      <w:r w:rsidR="008C52A1" w:rsidRPr="00781FB7">
        <w:rPr>
          <w:vertAlign w:val="superscript"/>
        </w:rPr>
        <w:footnoteReference w:id="77"/>
      </w:r>
      <w:r w:rsidR="008C52A1" w:rsidRPr="00781FB7">
        <w:t xml:space="preserve"> </w:t>
      </w:r>
      <w:r>
        <w:t xml:space="preserve"> </w:t>
      </w:r>
      <w:r w:rsidR="008C52A1">
        <w:t>N</w:t>
      </w:r>
      <w:r w:rsidRPr="00781FB7">
        <w:t xml:space="preserve">amely, the energy loss factors that </w:t>
      </w:r>
      <w:proofErr w:type="spellStart"/>
      <w:r w:rsidRPr="00781FB7">
        <w:t>EPE</w:t>
      </w:r>
      <w:proofErr w:type="spellEnd"/>
      <w:r w:rsidRPr="00781FB7">
        <w:t xml:space="preserve"> applies to its 69 kV and 115 kV classes are higher than the demand loss factors for these classes.</w:t>
      </w:r>
      <w:r w:rsidRPr="00781FB7">
        <w:rPr>
          <w:vertAlign w:val="superscript"/>
        </w:rPr>
        <w:t xml:space="preserve"> </w:t>
      </w:r>
      <w:r w:rsidR="006B71F8">
        <w:rPr>
          <w:vertAlign w:val="superscript"/>
        </w:rPr>
        <w:t xml:space="preserve">  </w:t>
      </w:r>
      <w:r>
        <w:t xml:space="preserve">This is unusual because </w:t>
      </w:r>
      <w:r w:rsidRPr="00781FB7">
        <w:t xml:space="preserve">line losses should be greater during peak load conditions.  </w:t>
      </w:r>
      <w:r w:rsidR="008C52A1">
        <w:t>While my cost allocation does not incorporate any corrections to the transmission loss factors, such c</w:t>
      </w:r>
      <w:r w:rsidRPr="00781FB7">
        <w:t xml:space="preserve">orrections may be warranted. </w:t>
      </w:r>
    </w:p>
    <w:p w14:paraId="716B1661" w14:textId="64A17C9B" w:rsidR="001006D1" w:rsidRDefault="001F639B" w:rsidP="00BB377B">
      <w:pPr>
        <w:pStyle w:val="Heading3"/>
        <w:rPr>
          <w:iCs/>
        </w:rPr>
      </w:pPr>
      <w:bookmarkStart w:id="26" w:name="_Toc85714092"/>
      <w:r>
        <w:t>Contributions and Donations Expense</w:t>
      </w:r>
      <w:r w:rsidR="0035042D">
        <w:t xml:space="preserve"> Allocation</w:t>
      </w:r>
      <w:bookmarkEnd w:id="26"/>
      <w:r w:rsidR="0035042D">
        <w:t xml:space="preserve"> </w:t>
      </w:r>
      <w:r>
        <w:t xml:space="preserve"> </w:t>
      </w:r>
    </w:p>
    <w:p w14:paraId="34467229" w14:textId="77777777" w:rsidR="001006D1" w:rsidRDefault="001F639B">
      <w:pPr>
        <w:pStyle w:val="TestimonyQ"/>
      </w:pPr>
      <w:r>
        <w:t xml:space="preserve">HOW DOES </w:t>
      </w:r>
      <w:proofErr w:type="spellStart"/>
      <w:r>
        <w:t>EPE</w:t>
      </w:r>
      <w:proofErr w:type="spellEnd"/>
      <w:r>
        <w:t xml:space="preserve"> ALLOCATE CONTRIBUTIONS AND DONATIONS EXPENSE? </w:t>
      </w:r>
    </w:p>
    <w:p w14:paraId="0D967088" w14:textId="6244CF03" w:rsidR="001006D1" w:rsidRDefault="001F639B">
      <w:pPr>
        <w:pStyle w:val="ANSWER"/>
      </w:pPr>
      <w:proofErr w:type="spellStart"/>
      <w:r>
        <w:t>EPE</w:t>
      </w:r>
      <w:proofErr w:type="spellEnd"/>
      <w:r>
        <w:t xml:space="preserve"> allocates Contributions and Donations expense using the Labor allocator.</w:t>
      </w:r>
      <w:r>
        <w:rPr>
          <w:rStyle w:val="FootnoteReference"/>
        </w:rPr>
        <w:footnoteReference w:id="78"/>
      </w:r>
      <w:r>
        <w:t xml:space="preserve"> </w:t>
      </w:r>
    </w:p>
    <w:p w14:paraId="5F67B884" w14:textId="77777777" w:rsidR="001006D1" w:rsidRDefault="001F639B">
      <w:pPr>
        <w:pStyle w:val="TestimonyQ"/>
      </w:pPr>
      <w:r>
        <w:t xml:space="preserve">WHAT IS YOUR RECOMMENDATION REGARDING THE ALLOCATION OF CONTRIBUTIONS AND DONATIONS EXPENSE? </w:t>
      </w:r>
    </w:p>
    <w:p w14:paraId="291E991D" w14:textId="69F0855C" w:rsidR="001006D1" w:rsidRDefault="001F639B">
      <w:pPr>
        <w:pStyle w:val="ANSWER"/>
      </w:pPr>
      <w:r>
        <w:t xml:space="preserve">I recommend that Contributions and Donations be allocated based on customer count.  To the extent </w:t>
      </w:r>
      <w:proofErr w:type="spellStart"/>
      <w:r>
        <w:t>EPE</w:t>
      </w:r>
      <w:proofErr w:type="spellEnd"/>
      <w:r>
        <w:t xml:space="preserve"> is permitted to recover contributions and donations from customers instead of its shareholders, it is presumably due to the broad community benefit that these gifts provide. Consequently, allocating these costs in a manner that best reflects a wide dispersion of benefit is most appropriate.  This is best achieved using the customer allocator.</w:t>
      </w:r>
      <w:r>
        <w:rPr>
          <w:b/>
        </w:rPr>
        <w:t xml:space="preserve">  </w:t>
      </w:r>
      <w:r>
        <w:t xml:space="preserve">  </w:t>
      </w:r>
    </w:p>
    <w:p w14:paraId="2F92E329" w14:textId="24575BCD" w:rsidR="00BB377B" w:rsidRPr="00BB377B" w:rsidRDefault="00BB377B" w:rsidP="00523FF5">
      <w:pPr>
        <w:pStyle w:val="Heading3"/>
        <w:keepNext/>
      </w:pPr>
      <w:bookmarkStart w:id="27" w:name="_Toc85714093"/>
      <w:r>
        <w:lastRenderedPageBreak/>
        <w:t>Summary of Recommended Allocation Impacts</w:t>
      </w:r>
      <w:bookmarkEnd w:id="27"/>
      <w:r>
        <w:t xml:space="preserve"> </w:t>
      </w:r>
      <w:r w:rsidRPr="00BB377B">
        <w:t xml:space="preserve">  </w:t>
      </w:r>
    </w:p>
    <w:p w14:paraId="3BD82952" w14:textId="77777777" w:rsidR="001006D1" w:rsidRDefault="001F639B" w:rsidP="00523FF5">
      <w:pPr>
        <w:pStyle w:val="TestimonyQ"/>
        <w:keepNext/>
      </w:pPr>
      <w:r>
        <w:t xml:space="preserve">HAVE YOU SUMMARIZED THE EFFECT OF YOUR RECOMMENDED CHANGES ON CLASS COST ALLOCATION? </w:t>
      </w:r>
    </w:p>
    <w:p w14:paraId="6EB612AB" w14:textId="63CD4831" w:rsidR="001006D1" w:rsidRPr="00C832FC" w:rsidRDefault="001F639B" w:rsidP="00523FF5">
      <w:pPr>
        <w:pStyle w:val="ANSWER"/>
        <w:keepNext/>
      </w:pPr>
      <w:r w:rsidRPr="00C832FC">
        <w:t xml:space="preserve">Yes.  The effects of my recommended changes on class cost allocation – using </w:t>
      </w:r>
      <w:proofErr w:type="spellStart"/>
      <w:r w:rsidRPr="00C832FC">
        <w:t>EPE’s</w:t>
      </w:r>
      <w:proofErr w:type="spellEnd"/>
      <w:r w:rsidRPr="00C832FC">
        <w:t xml:space="preserve"> proposed revenue requirement increase</w:t>
      </w:r>
      <w:r w:rsidR="00DE60C5">
        <w:t xml:space="preserve">, </w:t>
      </w:r>
      <w:r w:rsidRPr="00C832FC">
        <w:t xml:space="preserve">are presented </w:t>
      </w:r>
      <w:r w:rsidRPr="00CE5357">
        <w:t>in Exhibit KCH-1</w:t>
      </w:r>
      <w:r w:rsidR="00012655" w:rsidRPr="00CE5357">
        <w:t>0</w:t>
      </w:r>
      <w:r w:rsidRPr="00C832FC">
        <w:t xml:space="preserve">.  The estimated impact of my recommendation regarding the allocation of </w:t>
      </w:r>
      <w:proofErr w:type="spellStart"/>
      <w:r w:rsidRPr="00C832FC">
        <w:t>EPE’s</w:t>
      </w:r>
      <w:proofErr w:type="spellEnd"/>
      <w:r w:rsidRPr="00C832FC">
        <w:t xml:space="preserve"> 69 kV transmission system is included as a separate column in this exhibit.</w:t>
      </w:r>
    </w:p>
    <w:p w14:paraId="206861C3" w14:textId="77777777" w:rsidR="001006D1" w:rsidRDefault="001F639B" w:rsidP="001E239B">
      <w:pPr>
        <w:pStyle w:val="Heading1"/>
      </w:pPr>
      <w:bookmarkStart w:id="28" w:name="_Toc85714094"/>
      <w:r>
        <w:t>REVENUE ALLOCATION</w:t>
      </w:r>
      <w:bookmarkEnd w:id="28"/>
    </w:p>
    <w:p w14:paraId="5F7B3B73" w14:textId="77777777" w:rsidR="001006D1" w:rsidRDefault="001F639B">
      <w:pPr>
        <w:pStyle w:val="TestimonyQ"/>
      </w:pPr>
      <w:r>
        <w:t>WHAT GENERAL GUIDELINES SHOULD BE EMPLOYED IN SPREADING ANY CHANGE IN RATES?</w:t>
      </w:r>
    </w:p>
    <w:p w14:paraId="15A491CF" w14:textId="386B90FF" w:rsidR="001006D1" w:rsidRDefault="001F639B">
      <w:pPr>
        <w:pStyle w:val="ANSWER"/>
      </w:pPr>
      <w:r>
        <w:t>In determining revenue allocation, it is important to align rates with cost causation to the greatest extent practicable.  Properly aligning rates with the costs caused by each customer group is essential for ensuring fairness, as it minimizes cross</w:t>
      </w:r>
      <w:r w:rsidR="009D7205">
        <w:t>-</w:t>
      </w:r>
      <w:r>
        <w:t>subsidies among customers.  It also sends proper price signals, which improves efficiency in resource utilization.  In some cases, the Commission has applied gradualism to mitigate the full movement to cost of service.</w:t>
      </w:r>
    </w:p>
    <w:p w14:paraId="657A5C4F" w14:textId="1DCA46A3" w:rsidR="001006D1" w:rsidRDefault="001F639B">
      <w:pPr>
        <w:pStyle w:val="TestimonyQ"/>
      </w:pPr>
      <w:r>
        <w:t xml:space="preserve">Please describe the approach used by </w:t>
      </w:r>
      <w:proofErr w:type="spellStart"/>
      <w:r>
        <w:t>EPE</w:t>
      </w:r>
      <w:proofErr w:type="spellEnd"/>
      <w:r>
        <w:t xml:space="preserve"> to distribute the proposed rate increase among the texas rate classes.</w:t>
      </w:r>
    </w:p>
    <w:p w14:paraId="69205CBF" w14:textId="0DFA3678" w:rsidR="00FD1485" w:rsidRDefault="005416C2" w:rsidP="009F6AC1">
      <w:pPr>
        <w:pStyle w:val="ANSWER"/>
      </w:pPr>
      <w:r>
        <w:t xml:space="preserve">According to the Direct Testimony of Manuel Carrasco, </w:t>
      </w:r>
      <w:proofErr w:type="spellStart"/>
      <w:r>
        <w:t>EPE</w:t>
      </w:r>
      <w:proofErr w:type="spellEnd"/>
      <w:r>
        <w:t xml:space="preserve"> </w:t>
      </w:r>
      <w:r w:rsidR="001F639B">
        <w:t>is proposing</w:t>
      </w:r>
      <w:r w:rsidR="00F62B80">
        <w:t xml:space="preserve"> to cap the</w:t>
      </w:r>
      <w:r w:rsidR="00FD1485">
        <w:t xml:space="preserve"> </w:t>
      </w:r>
      <w:r w:rsidR="001972A6">
        <w:t xml:space="preserve">base </w:t>
      </w:r>
      <w:r w:rsidR="00FD1485">
        <w:t>increase to certain classes</w:t>
      </w:r>
      <w:r>
        <w:t xml:space="preserve"> (Residential and Water Heating)</w:t>
      </w:r>
      <w:r w:rsidR="00FD1485">
        <w:t xml:space="preserve"> </w:t>
      </w:r>
      <w:r w:rsidR="00F62B80">
        <w:t>at</w:t>
      </w:r>
      <w:r w:rsidR="00FD1485">
        <w:t xml:space="preserve"> 1.5 times the average non-fuel base revenue increase, </w:t>
      </w:r>
      <w:r w:rsidR="00F62B80">
        <w:t xml:space="preserve">as an initial step in the revenue allocation. </w:t>
      </w:r>
      <w:r w:rsidR="00FD1485">
        <w:t xml:space="preserve"> </w:t>
      </w:r>
      <w:proofErr w:type="spellStart"/>
      <w:r>
        <w:t>EPE</w:t>
      </w:r>
      <w:proofErr w:type="spellEnd"/>
      <w:r>
        <w:t xml:space="preserve"> also applie</w:t>
      </w:r>
      <w:r w:rsidR="00F62B80">
        <w:t>s</w:t>
      </w:r>
      <w:r>
        <w:t xml:space="preserve"> a floor to the decreases for certain rate classes (Rate 2 – Small General Service, Rate 24 – General Service, and Rate 41 – City and County Service), </w:t>
      </w:r>
      <w:r w:rsidR="002F14C4">
        <w:t xml:space="preserve">initially </w:t>
      </w:r>
      <w:r>
        <w:t xml:space="preserve">limiting the decreases for these classes to </w:t>
      </w:r>
      <w:r w:rsidR="00F62B80">
        <w:t>50% of the decreases indicated by the cost-of-service study.</w:t>
      </w:r>
      <w:r w:rsidR="00F62B80">
        <w:rPr>
          <w:rStyle w:val="FootnoteReference"/>
        </w:rPr>
        <w:footnoteReference w:id="79"/>
      </w:r>
      <w:r w:rsidR="00F62B80">
        <w:t xml:space="preserve"> </w:t>
      </w:r>
      <w:r w:rsidR="00FC6296">
        <w:t xml:space="preserve"> </w:t>
      </w:r>
      <w:r w:rsidR="00F62B80">
        <w:t xml:space="preserve">Caps and floors are not applied to other classes.  Then, after applying the initial caps and floors, </w:t>
      </w:r>
      <w:proofErr w:type="spellStart"/>
      <w:r w:rsidR="00F62B80">
        <w:lastRenderedPageBreak/>
        <w:t>EPE</w:t>
      </w:r>
      <w:proofErr w:type="spellEnd"/>
      <w:r w:rsidR="00F62B80">
        <w:t xml:space="preserve"> allocates the resulting revenue shortfall to all the classes in proportion to their allocated base revenue (after applying the initial cap or floor, as applicable).</w:t>
      </w:r>
      <w:r w:rsidR="00F62B80">
        <w:rPr>
          <w:rStyle w:val="FootnoteReference"/>
        </w:rPr>
        <w:footnoteReference w:id="80"/>
      </w:r>
      <w:r w:rsidR="00F62B80">
        <w:t xml:space="preserve"> </w:t>
      </w:r>
    </w:p>
    <w:p w14:paraId="017C2448" w14:textId="5B26CD57" w:rsidR="00F62B80" w:rsidRDefault="003372C6" w:rsidP="003372C6">
      <w:pPr>
        <w:pStyle w:val="TestimonyQ"/>
      </w:pPr>
      <w:r>
        <w:t xml:space="preserve">WHAT IS YOUR RESPONSE TO </w:t>
      </w:r>
      <w:proofErr w:type="spellStart"/>
      <w:r>
        <w:t>EPE’S</w:t>
      </w:r>
      <w:proofErr w:type="spellEnd"/>
      <w:r>
        <w:t xml:space="preserve"> </w:t>
      </w:r>
      <w:r w:rsidR="001E239B">
        <w:t xml:space="preserve">REVENUE ALLOCATION PROPOSAL? </w:t>
      </w:r>
    </w:p>
    <w:p w14:paraId="35AF7AAA" w14:textId="18442357" w:rsidR="00ED093C" w:rsidRPr="00ED093C" w:rsidRDefault="001E239B" w:rsidP="009F6AC1">
      <w:pPr>
        <w:pStyle w:val="ANSWER"/>
      </w:pPr>
      <w:r>
        <w:t xml:space="preserve">As an initial matter, </w:t>
      </w:r>
      <w:proofErr w:type="spellStart"/>
      <w:r>
        <w:t>EPE’s</w:t>
      </w:r>
      <w:proofErr w:type="spellEnd"/>
      <w:r>
        <w:t xml:space="preserve"> cap and floor are inconsistently applied among rate classes. </w:t>
      </w:r>
      <w:r w:rsidR="00FC6296">
        <w:t xml:space="preserve"> </w:t>
      </w:r>
      <w:r>
        <w:t xml:space="preserve">For example, according to Mr. Carrasco’s </w:t>
      </w:r>
      <w:r w:rsidR="0083008B">
        <w:t xml:space="preserve">Table </w:t>
      </w:r>
      <w:r w:rsidR="00ED093C">
        <w:t>MC-</w:t>
      </w:r>
      <w:r w:rsidR="0083008B">
        <w:t>8</w:t>
      </w:r>
      <w:r w:rsidR="00ED093C">
        <w:t xml:space="preserve">, the Residential class requires an increase of 18.67% under </w:t>
      </w:r>
      <w:proofErr w:type="spellStart"/>
      <w:r w:rsidR="00ED093C">
        <w:t>EPE’s</w:t>
      </w:r>
      <w:proofErr w:type="spellEnd"/>
      <w:r w:rsidR="00ED093C">
        <w:t xml:space="preserve"> cost-of-service study and receives an increase of 13.59% under </w:t>
      </w:r>
      <w:proofErr w:type="spellStart"/>
      <w:r w:rsidR="00ED093C">
        <w:t>EPE’s</w:t>
      </w:r>
      <w:proofErr w:type="spellEnd"/>
      <w:r w:rsidR="00ED093C">
        <w:t xml:space="preserve"> revenue allocation due to the proposed cap.  However, Rate 26 – Petroleum Refin</w:t>
      </w:r>
      <w:r w:rsidR="0083008B">
        <w:t>ery Service</w:t>
      </w:r>
      <w:r w:rsidR="00ED093C">
        <w:t xml:space="preserve">, requires an increase of 17.57% under </w:t>
      </w:r>
      <w:proofErr w:type="spellStart"/>
      <w:r w:rsidR="00ED093C">
        <w:t>EPE’s</w:t>
      </w:r>
      <w:proofErr w:type="spellEnd"/>
      <w:r w:rsidR="00ED093C">
        <w:t xml:space="preserve"> cost-of-service and receives an increase of 20.25% in order to fund the Residential/Water Heating subsidy.</w:t>
      </w:r>
      <w:r w:rsidR="006F70AF">
        <w:rPr>
          <w:rStyle w:val="FootnoteReference"/>
        </w:rPr>
        <w:footnoteReference w:id="81"/>
      </w:r>
    </w:p>
    <w:p w14:paraId="57868727" w14:textId="7C9B41D9" w:rsidR="001E239B" w:rsidRDefault="00ED093C" w:rsidP="00F1383A">
      <w:pPr>
        <w:pStyle w:val="BodyText"/>
      </w:pPr>
      <w:r>
        <w:t xml:space="preserve">While I recommend eliminating cross-subsidies among rate classes in this case, it is </w:t>
      </w:r>
      <w:r w:rsidR="0058777E">
        <w:t xml:space="preserve">particularly </w:t>
      </w:r>
      <w:r>
        <w:t xml:space="preserve">notable that </w:t>
      </w:r>
      <w:proofErr w:type="spellStart"/>
      <w:r>
        <w:t>EPE’s</w:t>
      </w:r>
      <w:proofErr w:type="spellEnd"/>
      <w:r>
        <w:t xml:space="preserve"> </w:t>
      </w:r>
      <w:r w:rsidRPr="00ED093C">
        <w:t xml:space="preserve">inconsistent application of </w:t>
      </w:r>
      <w:r>
        <w:t xml:space="preserve">its </w:t>
      </w:r>
      <w:r w:rsidRPr="00ED093C">
        <w:t xml:space="preserve">proposed caps and floors </w:t>
      </w:r>
      <w:r>
        <w:t xml:space="preserve">produces inequitable results for certain classes.  </w:t>
      </w:r>
    </w:p>
    <w:p w14:paraId="44B0665F" w14:textId="11A651A5" w:rsidR="001006D1" w:rsidRDefault="001F639B" w:rsidP="002F14C4">
      <w:pPr>
        <w:pStyle w:val="TestimonyQ"/>
      </w:pPr>
      <w:r>
        <w:t>IS</w:t>
      </w:r>
      <w:r w:rsidR="00ED093C">
        <w:t xml:space="preserve"> YOUR </w:t>
      </w:r>
      <w:r>
        <w:t>PROPOSAL TO ELIMINATE CROSS</w:t>
      </w:r>
      <w:r w:rsidR="009D7205">
        <w:t>-</w:t>
      </w:r>
      <w:r>
        <w:t>SUBSIDIES CONSISTENT WITH YOUR UNDERSTANDING OF THE POLICIES ADOPTED BY THE COMMISSION IN RECENT YEARS?</w:t>
      </w:r>
    </w:p>
    <w:p w14:paraId="3E5436A2" w14:textId="77777777" w:rsidR="001006D1" w:rsidRPr="003F5608" w:rsidRDefault="001F639B" w:rsidP="002F14C4">
      <w:pPr>
        <w:pStyle w:val="ANSWER"/>
      </w:pPr>
      <w:r w:rsidRPr="00AD137B">
        <w:t xml:space="preserve">Yes.  I am aware that the Commission has shown a strong preference for aligning class revenue requirement with the costs that each class causes to be incurred.  </w:t>
      </w:r>
      <w:r w:rsidRPr="003F5608">
        <w:t>For example, the Commission’s Order in the SPS rate case, Docket No. 43695, issued December 18, 2015, contained a clear statement affirming its commitment to aligning rates with the cost of service:</w:t>
      </w:r>
    </w:p>
    <w:p w14:paraId="3FC0C2D0" w14:textId="77777777" w:rsidR="001006D1" w:rsidRPr="003F5608" w:rsidRDefault="001F639B">
      <w:pPr>
        <w:spacing w:after="240"/>
        <w:ind w:left="1440" w:right="720"/>
        <w:jc w:val="both"/>
      </w:pPr>
      <w:r w:rsidRPr="003F5608">
        <w:t xml:space="preserve">The Commission declines to adopt any gradualism adjustment in this proceeding.  The Commission has often stated that one of its primary responsibilities in setting rates is ensuring those rates are, to the greatest extent reasonable, consistent with cost causation.  Further, as SPS conceded, the wisdom of a gradualism adjustment is affected by the size of the rate change.  While there is no magic threshold at which a change in rates automatically justifies an aberration from basing rates on classes’ costs of service, in Docket 40443, the Commission determined that an increase as large as 29% did not warrant rate mitigation.  Here, </w:t>
      </w:r>
      <w:proofErr w:type="spellStart"/>
      <w:r w:rsidRPr="003F5608">
        <w:t>SPS’s</w:t>
      </w:r>
      <w:proofErr w:type="spellEnd"/>
      <w:r w:rsidRPr="003F5608">
        <w:t xml:space="preserve"> overall Texas </w:t>
      </w:r>
      <w:r w:rsidRPr="003F5608">
        <w:lastRenderedPageBreak/>
        <w:t>retail revenue requirement will be decreased by less than 1% and class allocations based purely on each classes’ cost of service will result in relatively small rate changes.  All but one class will experience less than a 14% change to its base-revenue responsibilities.  The largest change will be borne by Street Lighting customers, whose revenue responsibility will increase 24.28%.  Thus, moving from classes’ costs of service and mandating inter-class cost subsidization is not warranted in this proceeding.</w:t>
      </w:r>
      <w:r w:rsidRPr="003F5608">
        <w:rPr>
          <w:rStyle w:val="FootnoteReference"/>
        </w:rPr>
        <w:footnoteReference w:id="82"/>
      </w:r>
      <w:r w:rsidRPr="003F5608">
        <w:t xml:space="preserve"> </w:t>
      </w:r>
    </w:p>
    <w:p w14:paraId="60FE76DC" w14:textId="4D19D6B9" w:rsidR="001006D1" w:rsidRDefault="001F639B" w:rsidP="00F1383A">
      <w:pPr>
        <w:pStyle w:val="BodyText"/>
      </w:pPr>
      <w:r w:rsidRPr="003F5608">
        <w:t>In addition, in cases involving SWEPCO</w:t>
      </w:r>
      <w:r w:rsidR="00497E0C">
        <w:t xml:space="preserve"> (Docket No. 40443)</w:t>
      </w:r>
      <w:r w:rsidRPr="003F5608">
        <w:t xml:space="preserve"> and </w:t>
      </w:r>
      <w:proofErr w:type="spellStart"/>
      <w:r w:rsidRPr="003F5608">
        <w:t>ETI</w:t>
      </w:r>
      <w:proofErr w:type="spellEnd"/>
      <w:r w:rsidR="00497E0C">
        <w:t xml:space="preserve"> (Docket No. 39896)</w:t>
      </w:r>
      <w:r w:rsidRPr="003F5608">
        <w:t xml:space="preserve">, the Commission rejected the position of the parties that recommended gradualism and directed that rates be set at cost.  In </w:t>
      </w:r>
      <w:r w:rsidR="00497E0C">
        <w:t>Docket No. 40443</w:t>
      </w:r>
      <w:r w:rsidRPr="003F5608">
        <w:t>, the range was from a 17.05% decrease to a 29.20% increase,</w:t>
      </w:r>
      <w:r w:rsidRPr="003F5608">
        <w:rPr>
          <w:rStyle w:val="FootnoteReference"/>
        </w:rPr>
        <w:footnoteReference w:id="83"/>
      </w:r>
      <w:r w:rsidRPr="003F5608">
        <w:t xml:space="preserve"> and for </w:t>
      </w:r>
      <w:r w:rsidR="00497E0C">
        <w:t>Docket No. 39896</w:t>
      </w:r>
      <w:r w:rsidRPr="003F5608">
        <w:t>, the range was from a 7.89% decrease to a 10.43% increase.</w:t>
      </w:r>
      <w:r w:rsidRPr="003F5608">
        <w:rPr>
          <w:rStyle w:val="FootnoteReference"/>
        </w:rPr>
        <w:footnoteReference w:id="84"/>
      </w:r>
      <w:r w:rsidRPr="003F5608">
        <w:t xml:space="preserve">  In each case the Commission set rates for each class at cost and rejected the application of gradualism proposals.</w:t>
      </w:r>
    </w:p>
    <w:p w14:paraId="1D22B2D6" w14:textId="559E7A0E" w:rsidR="001006D1" w:rsidRDefault="001F639B">
      <w:pPr>
        <w:pStyle w:val="TestimonyQ"/>
      </w:pPr>
      <w:r>
        <w:t>WHAT IS YOUR RECOMMENDED APPROACH TO REVENUE ALLOCATION IN THIS CASE?</w:t>
      </w:r>
    </w:p>
    <w:p w14:paraId="57337835" w14:textId="74B59332" w:rsidR="001006D1" w:rsidRPr="00C832FC" w:rsidRDefault="001F639B">
      <w:pPr>
        <w:pStyle w:val="ANSWER"/>
        <w:rPr>
          <w:b/>
        </w:rPr>
      </w:pPr>
      <w:r>
        <w:t>I recommend that all Texas rate classes</w:t>
      </w:r>
      <w:r w:rsidR="00377933">
        <w:t xml:space="preserve"> be moved</w:t>
      </w:r>
      <w:r>
        <w:t xml:space="preserve"> </w:t>
      </w:r>
      <w:r w:rsidRPr="00C832FC">
        <w:t>to full cost of</w:t>
      </w:r>
      <w:r w:rsidR="00377933">
        <w:t xml:space="preserve"> service</w:t>
      </w:r>
      <w:r w:rsidRPr="00C832FC">
        <w:t xml:space="preserve">, at the revenue requirement ultimately approved in this proceeding and incorporating my recommended changes to cost allocation. </w:t>
      </w:r>
      <w:r w:rsidR="00C920B7">
        <w:t xml:space="preserve"> </w:t>
      </w:r>
      <w:r w:rsidR="00C920B7" w:rsidRPr="00C920B7">
        <w:t xml:space="preserve">Moving each class to full cost recovery eliminates inter-class subsidies, sets efficient price signals, and is consistent with the Commission’s strong preference for aligning class revenues with costs.  </w:t>
      </w:r>
      <w:r w:rsidRPr="00C832FC">
        <w:t xml:space="preserve">At </w:t>
      </w:r>
      <w:proofErr w:type="spellStart"/>
      <w:r w:rsidRPr="00C832FC">
        <w:t>EPE’s</w:t>
      </w:r>
      <w:proofErr w:type="spellEnd"/>
      <w:r w:rsidRPr="00C832FC">
        <w:t xml:space="preserve"> requested revenue requirement, my recommended revenue allocation is the same as my recommended class cost allocation presented </w:t>
      </w:r>
      <w:r w:rsidRPr="00CE5357">
        <w:t>in Exhibit KCH-1</w:t>
      </w:r>
      <w:r w:rsidR="00377933" w:rsidRPr="00CE5357">
        <w:t>0.</w:t>
      </w:r>
      <w:r w:rsidR="00377933">
        <w:t xml:space="preserve"> </w:t>
      </w:r>
    </w:p>
    <w:p w14:paraId="0A1CDABA" w14:textId="5CDA7FF0" w:rsidR="001006D1" w:rsidRDefault="008C52A1" w:rsidP="007E43CA">
      <w:pPr>
        <w:pStyle w:val="Heading1"/>
      </w:pPr>
      <w:bookmarkStart w:id="29" w:name="_Toc85714095"/>
      <w:r>
        <w:t xml:space="preserve">RATE </w:t>
      </w:r>
      <w:r w:rsidR="00FD1485">
        <w:t xml:space="preserve">SCHEDULE </w:t>
      </w:r>
      <w:r>
        <w:t xml:space="preserve">NO. </w:t>
      </w:r>
      <w:r w:rsidR="00FD1485">
        <w:t xml:space="preserve">25 </w:t>
      </w:r>
      <w:r>
        <w:t xml:space="preserve">– LARGE POWER SERVICE </w:t>
      </w:r>
      <w:r w:rsidR="00FD1485">
        <w:t>TARIFF LANGUAGE</w:t>
      </w:r>
      <w:bookmarkEnd w:id="29"/>
    </w:p>
    <w:p w14:paraId="0FFFC01B" w14:textId="5B422826" w:rsidR="001006D1" w:rsidRDefault="001F639B">
      <w:pPr>
        <w:pStyle w:val="TestimonyQ"/>
      </w:pPr>
      <w:r>
        <w:t xml:space="preserve">DO YOU HAVE ANY RECOMMENDATIONS REGARDING </w:t>
      </w:r>
      <w:r w:rsidR="00FD1485">
        <w:t>TARIFF LANGUAGE</w:t>
      </w:r>
      <w:r>
        <w:t>?</w:t>
      </w:r>
    </w:p>
    <w:p w14:paraId="61797791" w14:textId="22694FB3" w:rsidR="001006D1" w:rsidRDefault="001F639B">
      <w:pPr>
        <w:pStyle w:val="ANSWER"/>
      </w:pPr>
      <w:r>
        <w:t xml:space="preserve">Yes.  Schedule No. 25 is the generally applicable rate schedule for customers with demands greater than 600 kW.  However, the current and proposed </w:t>
      </w:r>
      <w:proofErr w:type="spellStart"/>
      <w:r>
        <w:t>EPE</w:t>
      </w:r>
      <w:proofErr w:type="spellEnd"/>
      <w:r>
        <w:t xml:space="preserve"> tariff indicates that Schedule </w:t>
      </w:r>
      <w:r>
        <w:lastRenderedPageBreak/>
        <w:t>No. 25 is “limited to Customers who otherwise do not qualify for service under the Company’s other rate schedules</w:t>
      </w:r>
      <w:r w:rsidR="004721C6">
        <w:t>…</w:t>
      </w:r>
      <w:r>
        <w:t>”</w:t>
      </w:r>
      <w:r w:rsidR="0083008B">
        <w:rPr>
          <w:rStyle w:val="FootnoteReference"/>
        </w:rPr>
        <w:footnoteReference w:id="85"/>
      </w:r>
      <w:r>
        <w:t xml:space="preserve">  Thus, a customer who otherwise would qualify for Schedule No. 25, but also qualifies for another rate schedule, is ineligible for service under Schedule No. 25.  I believe this exclusion is unreasonable.</w:t>
      </w:r>
    </w:p>
    <w:p w14:paraId="0BECD284" w14:textId="77777777" w:rsidR="001006D1" w:rsidRDefault="001F639B">
      <w:pPr>
        <w:pStyle w:val="TestimonyQ"/>
      </w:pPr>
      <w:r>
        <w:t>WHY DO YOU BELIEVE THIS PRECLUSION IS UNREASONABLE?</w:t>
      </w:r>
    </w:p>
    <w:p w14:paraId="1754C774" w14:textId="4FF9E95F" w:rsidR="001006D1" w:rsidRDefault="001F639B">
      <w:pPr>
        <w:pStyle w:val="ANSWER"/>
      </w:pPr>
      <w:r>
        <w:t>Customers should be permitted to choose the Commission-approved rate that best suits their needs, assuming they meet the applicable volta</w:t>
      </w:r>
      <w:r w:rsidR="00CD6A9D">
        <w:t xml:space="preserve">ge and size requirements.  The </w:t>
      </w:r>
      <w:r>
        <w:t xml:space="preserve">choice of rate schedule should belong to the customer.  </w:t>
      </w:r>
      <w:proofErr w:type="spellStart"/>
      <w:r>
        <w:t>EPE’s</w:t>
      </w:r>
      <w:proofErr w:type="spellEnd"/>
      <w:r>
        <w:t xml:space="preserve"> tariff language allows </w:t>
      </w:r>
      <w:proofErr w:type="spellStart"/>
      <w:r>
        <w:t>EPE</w:t>
      </w:r>
      <w:proofErr w:type="spellEnd"/>
      <w:r>
        <w:t xml:space="preserve"> to deny service on </w:t>
      </w:r>
      <w:r w:rsidR="00247754">
        <w:t>Schedule No.</w:t>
      </w:r>
      <w:r>
        <w:t xml:space="preserve"> 25 to an otherwise eligible customer and require that the customer take service under a rate that may be more expensive or less compatible with the customer’s needs.  That is inappropriate.  </w:t>
      </w:r>
    </w:p>
    <w:p w14:paraId="2A747B25" w14:textId="1BB324B2" w:rsidR="001006D1" w:rsidRDefault="001F639B">
      <w:pPr>
        <w:pStyle w:val="TestimonyQ"/>
      </w:pPr>
      <w:r>
        <w:t>WHAT IS YOUR RECOMMENDATION TO TH</w:t>
      </w:r>
      <w:r w:rsidR="004721C6">
        <w:t>E</w:t>
      </w:r>
      <w:r>
        <w:t xml:space="preserve"> COMMISSION ON THIS ISSUE?</w:t>
      </w:r>
    </w:p>
    <w:p w14:paraId="51A4F14A" w14:textId="77777777" w:rsidR="001006D1" w:rsidRDefault="001F639B">
      <w:pPr>
        <w:pStyle w:val="ANSWER"/>
      </w:pPr>
      <w:r>
        <w:t>I recommend that the applicability provision in Schedule No. 25 be modified to remove the language that prohibits customers eligible for other rate schedules from taking service under this rate schedule.</w:t>
      </w:r>
    </w:p>
    <w:p w14:paraId="01B39F4D" w14:textId="77777777" w:rsidR="001006D1" w:rsidRDefault="001F639B">
      <w:pPr>
        <w:pStyle w:val="TestimonyQ"/>
      </w:pPr>
      <w:r>
        <w:t>Does this conclude your direct testimony?</w:t>
      </w:r>
    </w:p>
    <w:p w14:paraId="62F2FCA0" w14:textId="77777777" w:rsidR="001006D1" w:rsidRDefault="001F639B">
      <w:pPr>
        <w:pStyle w:val="ANSWER"/>
      </w:pPr>
      <w:r>
        <w:t>Yes, it does.</w:t>
      </w:r>
    </w:p>
    <w:sectPr w:rsidR="001006D1" w:rsidSect="001006D1">
      <w:headerReference w:type="default" r:id="rId13"/>
      <w:footerReference w:type="default" r:id="rId14"/>
      <w:pgSz w:w="12240" w:h="15840" w:code="1"/>
      <w:pgMar w:top="1440" w:right="1440" w:bottom="1440" w:left="1440" w:header="720" w:footer="720" w:gutter="0"/>
      <w:lnNumType w:countBy="1"/>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0B41CB" w14:textId="77777777" w:rsidR="0015292D" w:rsidRDefault="0015292D">
      <w:r>
        <w:separator/>
      </w:r>
    </w:p>
  </w:endnote>
  <w:endnote w:type="continuationSeparator" w:id="0">
    <w:p w14:paraId="598A2808" w14:textId="77777777" w:rsidR="0015292D" w:rsidRDefault="0015292D">
      <w:r>
        <w:continuationSeparator/>
      </w:r>
    </w:p>
  </w:endnote>
  <w:endnote w:type="continuationNotice" w:id="1">
    <w:p w14:paraId="29D0D7C7" w14:textId="77777777" w:rsidR="0015292D" w:rsidRDefault="001529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C2B0A3" w14:textId="52193D99" w:rsidR="00333BA9" w:rsidRPr="00DA22E8" w:rsidRDefault="00333BA9" w:rsidP="00DA22E8">
    <w:pPr>
      <w:pStyle w:val="Footer"/>
    </w:pPr>
    <w:proofErr w:type="spellStart"/>
    <w:r>
      <w:t>i</w:t>
    </w:r>
    <w:proofErr w:type="spellEnd"/>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32C29" w14:textId="77777777" w:rsidR="00333BA9" w:rsidRDefault="00333BA9">
    <w:pPr>
      <w:pStyle w:val="Footer"/>
    </w:pPr>
    <w:r>
      <w:t xml:space="preserve">Page | </w:t>
    </w:r>
    <w:r>
      <w:fldChar w:fldCharType="begin"/>
    </w:r>
    <w:r>
      <w:instrText xml:space="preserve"> PAGE   \* MERGEFORMAT </w:instrText>
    </w:r>
    <w:r>
      <w:fldChar w:fldCharType="separate"/>
    </w:r>
    <w:r>
      <w:rPr>
        <w:noProof/>
      </w:rPr>
      <w:t>3</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58B0" w14:textId="77777777" w:rsidR="00333BA9" w:rsidRDefault="00333BA9">
    <w:pPr>
      <w:pStyle w:val="Footer"/>
    </w:pPr>
    <w:r>
      <w:t xml:space="preserve">Page | </w:t>
    </w:r>
    <w:r>
      <w:fldChar w:fldCharType="begin"/>
    </w:r>
    <w:r>
      <w:instrText xml:space="preserve"> PAGE   \* MERGEFORMAT </w:instrText>
    </w:r>
    <w:r>
      <w:fldChar w:fldCharType="separate"/>
    </w:r>
    <w:r>
      <w:rPr>
        <w:noProof/>
      </w:rPr>
      <w:t>43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1CD7AA4" w14:textId="77777777" w:rsidR="0015292D" w:rsidRDefault="0015292D">
      <w:r>
        <w:separator/>
      </w:r>
    </w:p>
  </w:footnote>
  <w:footnote w:type="continuationSeparator" w:id="0">
    <w:p w14:paraId="7A0AD4E0" w14:textId="77777777" w:rsidR="0015292D" w:rsidRDefault="0015292D">
      <w:r>
        <w:continuationSeparator/>
      </w:r>
    </w:p>
  </w:footnote>
  <w:footnote w:type="continuationNotice" w:id="1">
    <w:p w14:paraId="60648E46" w14:textId="77777777" w:rsidR="0015292D" w:rsidRDefault="0015292D"/>
  </w:footnote>
  <w:footnote w:id="2">
    <w:p w14:paraId="608DC2B8" w14:textId="2AD37373" w:rsidR="00333BA9" w:rsidRDefault="00333BA9">
      <w:pPr>
        <w:pStyle w:val="FootnoteText"/>
      </w:pPr>
      <w:r>
        <w:rPr>
          <w:rStyle w:val="FootnoteReference"/>
        </w:rPr>
        <w:footnoteRef/>
      </w:r>
      <w:r>
        <w:t xml:space="preserve"> </w:t>
      </w:r>
      <w:r w:rsidR="00D86A7B">
        <w:t xml:space="preserve"> </w:t>
      </w:r>
      <w:r>
        <w:t xml:space="preserve">Direct Testimony of James Schichtl at 3 (Schichtl Dir.).  </w:t>
      </w:r>
    </w:p>
  </w:footnote>
  <w:footnote w:id="3">
    <w:p w14:paraId="0EEC7E20" w14:textId="100EC582" w:rsidR="00333BA9" w:rsidRDefault="00333BA9">
      <w:pPr>
        <w:pStyle w:val="FootnoteText"/>
      </w:pPr>
      <w:r>
        <w:rPr>
          <w:rStyle w:val="FootnoteReference"/>
        </w:rPr>
        <w:footnoteRef/>
      </w:r>
      <w:r>
        <w:t xml:space="preserve">  Derived from Schedule Q-07.00. </w:t>
      </w:r>
    </w:p>
  </w:footnote>
  <w:footnote w:id="4">
    <w:p w14:paraId="4B681F51" w14:textId="21BBC147" w:rsidR="00333BA9" w:rsidRDefault="00333BA9">
      <w:pPr>
        <w:pStyle w:val="FootnoteText"/>
      </w:pPr>
      <w:r>
        <w:rPr>
          <w:rStyle w:val="FootnoteReference"/>
        </w:rPr>
        <w:footnoteRef/>
      </w:r>
      <w:r>
        <w:t xml:space="preserve">  </w:t>
      </w:r>
      <w:r w:rsidRPr="00523FF5">
        <w:rPr>
          <w:i/>
          <w:iCs/>
        </w:rPr>
        <w:t>See</w:t>
      </w:r>
      <w:r>
        <w:t xml:space="preserve"> Schedule K-01.00. </w:t>
      </w:r>
    </w:p>
  </w:footnote>
  <w:footnote w:id="5">
    <w:p w14:paraId="35A63B3F" w14:textId="4EBB4828" w:rsidR="00333BA9" w:rsidRDefault="00333BA9" w:rsidP="00074B87">
      <w:pPr>
        <w:pStyle w:val="FootnoteText"/>
      </w:pPr>
      <w:r>
        <w:rPr>
          <w:rStyle w:val="FootnoteReference"/>
        </w:rPr>
        <w:footnoteRef/>
      </w:r>
      <w:r>
        <w:t xml:space="preserve"> </w:t>
      </w:r>
      <w:r w:rsidR="00523FF5">
        <w:t xml:space="preserve"> </w:t>
      </w:r>
      <w:r>
        <w:t xml:space="preserve">Direct Testimony of Adrian Hernandez at 11 (Hernandez Dir.). </w:t>
      </w:r>
    </w:p>
  </w:footnote>
  <w:footnote w:id="6">
    <w:p w14:paraId="36BFC193" w14:textId="38BD8FC9" w:rsidR="00333BA9" w:rsidRDefault="00333BA9" w:rsidP="00F1383A">
      <w:pPr>
        <w:pStyle w:val="FootnoteText"/>
      </w:pPr>
      <w:r>
        <w:rPr>
          <w:rStyle w:val="FootnoteReference"/>
        </w:rPr>
        <w:footnoteRef/>
      </w:r>
      <w:r>
        <w:t xml:space="preserve">  </w:t>
      </w:r>
      <w:r w:rsidRPr="00C97BFC">
        <w:t>The limitations are summarized here: irs.gov/retirement-plans/cola-increases-for-dollar-limitations-on-benefits-and-contributions</w:t>
      </w:r>
      <w:r>
        <w:t>.</w:t>
      </w:r>
    </w:p>
  </w:footnote>
  <w:footnote w:id="7">
    <w:p w14:paraId="6A28C9E9" w14:textId="15D3953E" w:rsidR="00333BA9" w:rsidRDefault="00333BA9">
      <w:pPr>
        <w:pStyle w:val="FootnoteText"/>
      </w:pPr>
      <w:r>
        <w:rPr>
          <w:rStyle w:val="FootnoteReference"/>
        </w:rPr>
        <w:footnoteRef/>
      </w:r>
      <w:r>
        <w:t xml:space="preserve">  Schedule G-2 at 2-3; Direct Testimony of Cynthia S. Prieto at 10-11 (Prieto Dir.); EPE’s response to RFI TIEC 2-1. </w:t>
      </w:r>
    </w:p>
  </w:footnote>
  <w:footnote w:id="8">
    <w:p w14:paraId="39D6F0BF" w14:textId="5D3BFEB6" w:rsidR="00333BA9" w:rsidRDefault="00333BA9">
      <w:pPr>
        <w:pStyle w:val="FootnoteText"/>
      </w:pPr>
      <w:r>
        <w:rPr>
          <w:rStyle w:val="FootnoteReference"/>
        </w:rPr>
        <w:footnoteRef/>
      </w:r>
      <w:r>
        <w:t xml:space="preserve">  Schedule G-2 at 2-3; Prieto Dir. at 10-11; EPE’s response to RFI TIEC 2-1.  </w:t>
      </w:r>
    </w:p>
  </w:footnote>
  <w:footnote w:id="9">
    <w:p w14:paraId="05DEA7F5" w14:textId="64F47968" w:rsidR="00333BA9" w:rsidRDefault="00333BA9">
      <w:pPr>
        <w:pStyle w:val="FootnoteText"/>
      </w:pPr>
      <w:r>
        <w:rPr>
          <w:rStyle w:val="FootnoteReference"/>
        </w:rPr>
        <w:footnoteRef/>
      </w:r>
      <w:r>
        <w:t xml:space="preserve">  El Paso Electric Company Form 2019 10-K/A, Amendment No. 1, p. 24. </w:t>
      </w:r>
    </w:p>
  </w:footnote>
  <w:footnote w:id="10">
    <w:p w14:paraId="49DE09F1" w14:textId="5E47D355" w:rsidR="00333BA9" w:rsidRDefault="00333BA9">
      <w:pPr>
        <w:pStyle w:val="FootnoteText"/>
      </w:pPr>
      <w:r>
        <w:rPr>
          <w:rStyle w:val="FootnoteReference"/>
        </w:rPr>
        <w:footnoteRef/>
      </w:r>
      <w:r>
        <w:t xml:space="preserve">  </w:t>
      </w:r>
      <w:r w:rsidRPr="00C2747B">
        <w:rPr>
          <w:i/>
          <w:iCs/>
        </w:rPr>
        <w:t>Application of Entergy Texas, Inc. for Authority to Change Rates, Reconcile Fuel Costs, and Obtain Deferred Accounting Treatment</w:t>
      </w:r>
      <w:r>
        <w:t>,</w:t>
      </w:r>
      <w:r w:rsidRPr="001A0FEC">
        <w:t xml:space="preserve"> </w:t>
      </w:r>
      <w:r>
        <w:rPr>
          <w:bCs/>
        </w:rPr>
        <w:t xml:space="preserve">Docket No. 39896, Order at Finding of Fact 142 (Sept. 14, 2012); </w:t>
      </w:r>
      <w:r>
        <w:rPr>
          <w:bCs/>
          <w:i/>
          <w:iCs/>
        </w:rPr>
        <w:t xml:space="preserve">see also </w:t>
      </w:r>
      <w:r w:rsidRPr="00C2747B">
        <w:rPr>
          <w:bCs/>
          <w:i/>
          <w:iCs/>
        </w:rPr>
        <w:t>Application of Southwestern Electric Power Company for Authority to Change Rates</w:t>
      </w:r>
      <w:r w:rsidRPr="000D45D3">
        <w:rPr>
          <w:bCs/>
        </w:rPr>
        <w:t>, Docket No. 51415, Proposal for Decision</w:t>
      </w:r>
      <w:r>
        <w:rPr>
          <w:bCs/>
        </w:rPr>
        <w:t>, at</w:t>
      </w:r>
      <w:r w:rsidRPr="000D45D3">
        <w:rPr>
          <w:bCs/>
        </w:rPr>
        <w:t xml:space="preserve"> 335 (Aug. 27, 2021)</w:t>
      </w:r>
      <w:r>
        <w:rPr>
          <w:bCs/>
        </w:rPr>
        <w:t xml:space="preserve"> (where the ALJs acknowledge that </w:t>
      </w:r>
      <w:r w:rsidRPr="000D45D3">
        <w:rPr>
          <w:bCs/>
        </w:rPr>
        <w:t>SWEPCO removed the SERP expense that comes from pension benefits that exceed the compensation limit for qualified pension plans from its requested cost of service “based on the Commission’s precedents in Docket Nos. 40443 and 46449.”</w:t>
      </w:r>
      <w:r>
        <w:rPr>
          <w:bCs/>
        </w:rPr>
        <w:t>).</w:t>
      </w:r>
    </w:p>
  </w:footnote>
  <w:footnote w:id="11">
    <w:p w14:paraId="0235B8A0" w14:textId="61A7850D" w:rsidR="00333BA9" w:rsidRDefault="00333BA9">
      <w:pPr>
        <w:pStyle w:val="FootnoteText"/>
      </w:pPr>
      <w:r>
        <w:rPr>
          <w:rStyle w:val="FootnoteReference"/>
        </w:rPr>
        <w:footnoteRef/>
      </w:r>
      <w:r>
        <w:t xml:space="preserve">  Direct Testimony of Todd Horton at 2-3, 6 (Horton Dir.). </w:t>
      </w:r>
    </w:p>
  </w:footnote>
  <w:footnote w:id="12">
    <w:p w14:paraId="4AFCAA83" w14:textId="377A23DD" w:rsidR="00333BA9" w:rsidRDefault="00333BA9">
      <w:pPr>
        <w:pStyle w:val="FootnoteText"/>
      </w:pPr>
      <w:r>
        <w:rPr>
          <w:rStyle w:val="FootnoteReference"/>
        </w:rPr>
        <w:footnoteRef/>
      </w:r>
      <w:r>
        <w:t xml:space="preserve">  </w:t>
      </w:r>
      <w:r w:rsidRPr="00523FF5">
        <w:rPr>
          <w:i/>
          <w:iCs/>
        </w:rPr>
        <w:t>Id.</w:t>
      </w:r>
      <w:r>
        <w:t xml:space="preserve"> at 10, 32-33. </w:t>
      </w:r>
    </w:p>
  </w:footnote>
  <w:footnote w:id="13">
    <w:p w14:paraId="048CE4EE" w14:textId="72EF8D45" w:rsidR="00333BA9" w:rsidRDefault="00333BA9">
      <w:pPr>
        <w:pStyle w:val="FootnoteText"/>
      </w:pPr>
      <w:r>
        <w:rPr>
          <w:rStyle w:val="FootnoteReference"/>
        </w:rPr>
        <w:footnoteRef/>
      </w:r>
      <w:r>
        <w:t xml:space="preserve">  Prieto Dir. at 7. </w:t>
      </w:r>
    </w:p>
  </w:footnote>
  <w:footnote w:id="14">
    <w:p w14:paraId="5651D79F" w14:textId="140045AC" w:rsidR="00333BA9" w:rsidRDefault="00333BA9">
      <w:pPr>
        <w:pStyle w:val="FootnoteText"/>
      </w:pPr>
      <w:r>
        <w:rPr>
          <w:rStyle w:val="FootnoteReference"/>
        </w:rPr>
        <w:footnoteRef/>
      </w:r>
      <w:r>
        <w:t xml:space="preserve">  EPE response to RFI CEP 10-17. </w:t>
      </w:r>
    </w:p>
  </w:footnote>
  <w:footnote w:id="15">
    <w:p w14:paraId="4166C64A" w14:textId="0E1AAA22" w:rsidR="00333BA9" w:rsidRDefault="00333BA9">
      <w:pPr>
        <w:pStyle w:val="FootnoteText"/>
      </w:pPr>
      <w:r>
        <w:rPr>
          <w:rStyle w:val="FootnoteReference"/>
        </w:rPr>
        <w:footnoteRef/>
      </w:r>
      <w:r>
        <w:t xml:space="preserve">  </w:t>
      </w:r>
      <w:r>
        <w:rPr>
          <w:i/>
        </w:rPr>
        <w:t>Application of Southwestern Electric Power Company for Authority to Change Rates and Reconcile Fuel Costs</w:t>
      </w:r>
      <w:r>
        <w:t xml:space="preserve">, Docket No. 40443, Order on Rehearing at Finding of Fact No. 147 (Mar. 6, 2014). </w:t>
      </w:r>
    </w:p>
  </w:footnote>
  <w:footnote w:id="16">
    <w:p w14:paraId="1ED1EC49" w14:textId="6186802A" w:rsidR="00333BA9" w:rsidRDefault="00333BA9">
      <w:pPr>
        <w:pStyle w:val="FootnoteText"/>
      </w:pPr>
      <w:r>
        <w:rPr>
          <w:rStyle w:val="FootnoteReference"/>
        </w:rPr>
        <w:footnoteRef/>
      </w:r>
      <w:r>
        <w:t xml:space="preserve">  EPE provided data on the PVNGS incentive compensation in its response to RFI CEP 10-16. </w:t>
      </w:r>
    </w:p>
  </w:footnote>
  <w:footnote w:id="17">
    <w:p w14:paraId="76627978" w14:textId="6B0B7897" w:rsidR="00333BA9" w:rsidRDefault="00333BA9">
      <w:pPr>
        <w:pStyle w:val="FootnoteText"/>
      </w:pPr>
      <w:r>
        <w:rPr>
          <w:rStyle w:val="FootnoteReference"/>
        </w:rPr>
        <w:footnoteRef/>
      </w:r>
      <w:r>
        <w:t xml:space="preserve">  Direct Testimony of Lisa D. Budtke at 16-19 (Budtke Dir.). </w:t>
      </w:r>
    </w:p>
  </w:footnote>
  <w:footnote w:id="18">
    <w:p w14:paraId="3ADADF57" w14:textId="48FEEE8C" w:rsidR="00333BA9" w:rsidRDefault="00333BA9">
      <w:pPr>
        <w:pStyle w:val="FootnoteText"/>
      </w:pPr>
      <w:r>
        <w:rPr>
          <w:rStyle w:val="FootnoteReference"/>
        </w:rPr>
        <w:footnoteRef/>
      </w:r>
      <w:r>
        <w:t xml:space="preserve">  </w:t>
      </w:r>
      <w:r>
        <w:rPr>
          <w:i/>
          <w:iCs/>
        </w:rPr>
        <w:t xml:space="preserve">Id. </w:t>
      </w:r>
      <w:r>
        <w:t xml:space="preserve">at </w:t>
      </w:r>
      <w:r w:rsidRPr="00CA04F9">
        <w:t>19.</w:t>
      </w:r>
    </w:p>
  </w:footnote>
  <w:footnote w:id="19">
    <w:p w14:paraId="78DB1777" w14:textId="77123EA2" w:rsidR="00333BA9" w:rsidRDefault="00333BA9">
      <w:pPr>
        <w:pStyle w:val="FootnoteText"/>
      </w:pPr>
      <w:r>
        <w:rPr>
          <w:rStyle w:val="FootnoteReference"/>
        </w:rPr>
        <w:footnoteRef/>
      </w:r>
      <w:r>
        <w:t xml:space="preserve">  </w:t>
      </w:r>
      <w:r>
        <w:rPr>
          <w:i/>
          <w:iCs/>
        </w:rPr>
        <w:t>Id.</w:t>
      </w:r>
      <w:r>
        <w:t xml:space="preserve"> at </w:t>
      </w:r>
      <w:r w:rsidRPr="00CA04F9">
        <w:t>1</w:t>
      </w:r>
      <w:r>
        <w:t>7.</w:t>
      </w:r>
    </w:p>
  </w:footnote>
  <w:footnote w:id="20">
    <w:p w14:paraId="75A59842" w14:textId="2359C836" w:rsidR="00333BA9" w:rsidRDefault="00333BA9">
      <w:pPr>
        <w:pStyle w:val="FootnoteText"/>
      </w:pPr>
      <w:r>
        <w:rPr>
          <w:rStyle w:val="FootnoteReference"/>
        </w:rPr>
        <w:footnoteRef/>
      </w:r>
      <w:r>
        <w:t xml:space="preserve">  Derived from Schedule K-04.00_PUBLIC. Based on annual interest rates of 3.5% applicable to the RCF ABR Loan and 1.36% applied to the RCF Eurodollar loans. </w:t>
      </w:r>
    </w:p>
  </w:footnote>
  <w:footnote w:id="21">
    <w:p w14:paraId="3B8EE405" w14:textId="46627BEF" w:rsidR="00333BA9" w:rsidRDefault="00333BA9" w:rsidP="00DB0B89">
      <w:pPr>
        <w:pStyle w:val="FootnoteText"/>
      </w:pPr>
      <w:r>
        <w:rPr>
          <w:rStyle w:val="FootnoteReference"/>
        </w:rPr>
        <w:footnoteRef/>
      </w:r>
      <w:r>
        <w:t xml:space="preserve">  Schedule K-01.00. </w:t>
      </w:r>
    </w:p>
  </w:footnote>
  <w:footnote w:id="22">
    <w:p w14:paraId="3E73F1FA" w14:textId="11F9BB86" w:rsidR="00333BA9" w:rsidRDefault="00333BA9">
      <w:pPr>
        <w:pStyle w:val="FootnoteText"/>
      </w:pPr>
      <w:r>
        <w:rPr>
          <w:rStyle w:val="FootnoteReference"/>
        </w:rPr>
        <w:footnoteRef/>
      </w:r>
      <w:r>
        <w:t xml:space="preserve">  Direct Testimony of Larry J. Hancock at 33 (Hancock Dir.). </w:t>
      </w:r>
    </w:p>
  </w:footnote>
  <w:footnote w:id="23">
    <w:p w14:paraId="77D63263" w14:textId="05601B74" w:rsidR="00333BA9" w:rsidRDefault="00333BA9">
      <w:pPr>
        <w:pStyle w:val="FootnoteText"/>
      </w:pPr>
      <w:r>
        <w:rPr>
          <w:rStyle w:val="FootnoteReference"/>
        </w:rPr>
        <w:footnoteRef/>
      </w:r>
      <w:r>
        <w:t xml:space="preserve">  EPE’s response to RFI TIEC 4-4 b. </w:t>
      </w:r>
    </w:p>
  </w:footnote>
  <w:footnote w:id="24">
    <w:p w14:paraId="78F866B0" w14:textId="5671F852" w:rsidR="00333BA9" w:rsidRDefault="00333BA9">
      <w:pPr>
        <w:pStyle w:val="FootnoteText"/>
      </w:pPr>
      <w:r>
        <w:rPr>
          <w:rStyle w:val="FootnoteReference"/>
        </w:rPr>
        <w:footnoteRef/>
      </w:r>
      <w:r>
        <w:t xml:space="preserve">  Hernandez Dir. at 9. </w:t>
      </w:r>
    </w:p>
  </w:footnote>
  <w:footnote w:id="25">
    <w:p w14:paraId="00B2B18D" w14:textId="6D504751" w:rsidR="00333BA9" w:rsidRDefault="00333BA9">
      <w:pPr>
        <w:pStyle w:val="FootnoteText"/>
      </w:pPr>
      <w:r>
        <w:rPr>
          <w:rStyle w:val="FootnoteReference"/>
        </w:rPr>
        <w:footnoteRef/>
      </w:r>
      <w:r>
        <w:t xml:space="preserve">  Direct Testimony of George Novela at 8-9 (Novela Dir.).  </w:t>
      </w:r>
      <w:r w:rsidRPr="00523FF5">
        <w:rPr>
          <w:i/>
          <w:iCs/>
        </w:rPr>
        <w:t>See also</w:t>
      </w:r>
      <w:r>
        <w:t xml:space="preserve"> EPE’s response to RFI CEP 4-6, </w:t>
      </w:r>
      <w:r w:rsidRPr="00BC1392">
        <w:t>CEP 04-06_Attachment_02 VOLUMINOU</w:t>
      </w:r>
      <w:r>
        <w:t xml:space="preserve">S. </w:t>
      </w:r>
    </w:p>
  </w:footnote>
  <w:footnote w:id="26">
    <w:p w14:paraId="4CC8013D" w14:textId="3AE0C261" w:rsidR="00333BA9" w:rsidRDefault="00333BA9">
      <w:pPr>
        <w:pStyle w:val="FootnoteText"/>
      </w:pPr>
      <w:r>
        <w:rPr>
          <w:rStyle w:val="FootnoteReference"/>
        </w:rPr>
        <w:footnoteRef/>
      </w:r>
      <w:r>
        <w:t xml:space="preserve">  Hernandez Dir. at 11. </w:t>
      </w:r>
    </w:p>
  </w:footnote>
  <w:footnote w:id="27">
    <w:p w14:paraId="1F860C6C" w14:textId="6A02D57B" w:rsidR="00333BA9" w:rsidRDefault="00333BA9">
      <w:pPr>
        <w:pStyle w:val="FootnoteText"/>
      </w:pPr>
      <w:r>
        <w:rPr>
          <w:rStyle w:val="FootnoteReference"/>
        </w:rPr>
        <w:footnoteRef/>
      </w:r>
      <w:r>
        <w:t xml:space="preserve">  </w:t>
      </w:r>
      <w:r w:rsidRPr="00523FF5">
        <w:rPr>
          <w:i/>
          <w:iCs/>
        </w:rPr>
        <w:t>Id.</w:t>
      </w:r>
      <w:r>
        <w:t xml:space="preserve"> at 13.  </w:t>
      </w:r>
      <w:r w:rsidRPr="00523FF5">
        <w:rPr>
          <w:i/>
          <w:iCs/>
        </w:rPr>
        <w:t>See also</w:t>
      </w:r>
      <w:r>
        <w:t xml:space="preserve"> </w:t>
      </w:r>
      <w:r w:rsidRPr="00BC1392">
        <w:t>EPE Regulatory Case Working Model - As Filed - Dkt 52195</w:t>
      </w:r>
      <w:r>
        <w:t xml:space="preserve">. </w:t>
      </w:r>
    </w:p>
  </w:footnote>
  <w:footnote w:id="28">
    <w:p w14:paraId="478EF3FE" w14:textId="688EA572" w:rsidR="00333BA9" w:rsidRDefault="00333BA9">
      <w:pPr>
        <w:pStyle w:val="FootnoteText"/>
      </w:pPr>
      <w:r>
        <w:rPr>
          <w:rStyle w:val="FootnoteReference"/>
        </w:rPr>
        <w:footnoteRef/>
      </w:r>
      <w:r>
        <w:t xml:space="preserve">  Hernandez Dir. at </w:t>
      </w:r>
      <w:r w:rsidRPr="00BC1392">
        <w:t>11.</w:t>
      </w:r>
    </w:p>
  </w:footnote>
  <w:footnote w:id="29">
    <w:p w14:paraId="52333F0C" w14:textId="24848E15" w:rsidR="00333BA9" w:rsidRDefault="00333BA9">
      <w:pPr>
        <w:pStyle w:val="FootnoteText"/>
      </w:pPr>
      <w:r>
        <w:rPr>
          <w:rStyle w:val="FootnoteReference"/>
        </w:rPr>
        <w:footnoteRef/>
      </w:r>
      <w:r>
        <w:t xml:space="preserve">  </w:t>
      </w:r>
      <w:r>
        <w:rPr>
          <w:i/>
        </w:rPr>
        <w:t xml:space="preserve">Id. </w:t>
      </w:r>
    </w:p>
  </w:footnote>
  <w:footnote w:id="30">
    <w:p w14:paraId="00147550" w14:textId="6DC47B4B" w:rsidR="00333BA9" w:rsidRDefault="00333BA9">
      <w:pPr>
        <w:pStyle w:val="FootnoteText"/>
      </w:pPr>
      <w:r>
        <w:rPr>
          <w:rStyle w:val="FootnoteReference"/>
        </w:rPr>
        <w:footnoteRef/>
      </w:r>
      <w:r>
        <w:t xml:space="preserve">  </w:t>
      </w:r>
      <w:r w:rsidRPr="00BC1392">
        <w:rPr>
          <w:i/>
          <w:iCs/>
        </w:rPr>
        <w:t>Id.</w:t>
      </w:r>
      <w:r>
        <w:rPr>
          <w:i/>
          <w:iCs/>
        </w:rPr>
        <w:t xml:space="preserve"> </w:t>
      </w:r>
      <w:r>
        <w:t xml:space="preserve">at 14. </w:t>
      </w:r>
    </w:p>
  </w:footnote>
  <w:footnote w:id="31">
    <w:p w14:paraId="1E561344" w14:textId="0B779CFA" w:rsidR="00333BA9" w:rsidRDefault="00333BA9">
      <w:pPr>
        <w:pStyle w:val="FootnoteText"/>
      </w:pPr>
      <w:r>
        <w:rPr>
          <w:rStyle w:val="FootnoteReference"/>
        </w:rPr>
        <w:footnoteRef/>
      </w:r>
      <w:r>
        <w:t xml:space="preserve">  </w:t>
      </w:r>
      <w:r w:rsidRPr="0042530A">
        <w:rPr>
          <w:i/>
          <w:iCs/>
        </w:rPr>
        <w:t>Id</w:t>
      </w:r>
      <w:r w:rsidRPr="0042530A">
        <w:t>.</w:t>
      </w:r>
      <w:r>
        <w:t xml:space="preserve"> at </w:t>
      </w:r>
      <w:r w:rsidRPr="0042530A">
        <w:t>14</w:t>
      </w:r>
      <w:r>
        <w:t xml:space="preserve">-15. </w:t>
      </w:r>
    </w:p>
  </w:footnote>
  <w:footnote w:id="32">
    <w:p w14:paraId="2BE51EE2" w14:textId="3D4D295E" w:rsidR="00333BA9" w:rsidRDefault="00333BA9">
      <w:pPr>
        <w:pStyle w:val="FootnoteText"/>
      </w:pPr>
      <w:r>
        <w:rPr>
          <w:rStyle w:val="FootnoteReference"/>
        </w:rPr>
        <w:footnoteRef/>
      </w:r>
      <w:r>
        <w:t xml:space="preserve">  </w:t>
      </w:r>
      <w:r>
        <w:rPr>
          <w:i/>
        </w:rPr>
        <w:t>Id.</w:t>
      </w:r>
    </w:p>
  </w:footnote>
  <w:footnote w:id="33">
    <w:p w14:paraId="0FDE8D03" w14:textId="134877F4" w:rsidR="00333BA9" w:rsidRDefault="00333BA9">
      <w:pPr>
        <w:pStyle w:val="FootnoteText"/>
      </w:pPr>
      <w:r>
        <w:rPr>
          <w:rStyle w:val="FootnoteReference"/>
        </w:rPr>
        <w:footnoteRef/>
      </w:r>
      <w:r>
        <w:t xml:space="preserve">  </w:t>
      </w:r>
      <w:r>
        <w:rPr>
          <w:i/>
        </w:rPr>
        <w:t>Id.</w:t>
      </w:r>
      <w:r w:rsidR="00D86A7B">
        <w:rPr>
          <w:i/>
        </w:rPr>
        <w:t xml:space="preserve"> </w:t>
      </w:r>
      <w:r>
        <w:t>at 16.</w:t>
      </w:r>
    </w:p>
  </w:footnote>
  <w:footnote w:id="34">
    <w:p w14:paraId="670AC7D6" w14:textId="6CFFD835" w:rsidR="00333BA9" w:rsidRDefault="00333BA9" w:rsidP="00DE5123">
      <w:pPr>
        <w:pStyle w:val="FootnoteText"/>
      </w:pPr>
      <w:r>
        <w:rPr>
          <w:rStyle w:val="FootnoteReference"/>
        </w:rPr>
        <w:footnoteRef/>
      </w:r>
      <w:r>
        <w:t xml:space="preserve">  </w:t>
      </w:r>
      <w:r w:rsidRPr="00523FF5">
        <w:rPr>
          <w:i/>
          <w:iCs/>
        </w:rPr>
        <w:t>See</w:t>
      </w:r>
      <w:r>
        <w:t xml:space="preserve"> EPE’s response to RFI CEP 4-07, </w:t>
      </w:r>
      <w:r w:rsidRPr="00D774FB">
        <w:t>CEP 04-07_Attachment_01</w:t>
      </w:r>
      <w:r>
        <w:t>.  EPE’s adjustment is based on the weighted average capacity factors of the NRG, Hatch, and Sun Edison 1&amp;2 plants during the hour of the monthly CP each day of June – September 2020.</w:t>
      </w:r>
    </w:p>
  </w:footnote>
  <w:footnote w:id="35">
    <w:p w14:paraId="23A157A0" w14:textId="2E165620" w:rsidR="00333BA9" w:rsidRDefault="00333BA9" w:rsidP="00DE5123">
      <w:pPr>
        <w:pStyle w:val="FootnoteText"/>
      </w:pPr>
      <w:r>
        <w:rPr>
          <w:rStyle w:val="FootnoteReference"/>
        </w:rPr>
        <w:footnoteRef/>
      </w:r>
      <w:r>
        <w:t xml:space="preserve">  </w:t>
      </w:r>
      <w:r w:rsidRPr="00F40DEC">
        <w:t>Derived from EPE’s response to RFI CEP 4-06, CEP 4-06_Attachment_02.  This includes the impact of the loss factor gross-up EPE applies to solar output.</w:t>
      </w:r>
    </w:p>
  </w:footnote>
  <w:footnote w:id="36">
    <w:p w14:paraId="7FAB6AC4" w14:textId="2F83DA72" w:rsidR="00333BA9" w:rsidRDefault="00333BA9" w:rsidP="00DE5123">
      <w:pPr>
        <w:pStyle w:val="FootnoteText"/>
      </w:pPr>
      <w:r>
        <w:rPr>
          <w:rStyle w:val="FootnoteReference"/>
        </w:rPr>
        <w:footnoteRef/>
      </w:r>
      <w:r>
        <w:t xml:space="preserve">  Includes Holloman in the New Mexico 4CP impacts.  </w:t>
      </w:r>
    </w:p>
  </w:footnote>
  <w:footnote w:id="37">
    <w:p w14:paraId="6E2BD2A4" w14:textId="1F69CCE4" w:rsidR="00333BA9" w:rsidRDefault="00333BA9" w:rsidP="00DE5123">
      <w:pPr>
        <w:pStyle w:val="FootnoteText"/>
      </w:pPr>
      <w:r>
        <w:rPr>
          <w:rStyle w:val="FootnoteReference"/>
        </w:rPr>
        <w:footnoteRef/>
      </w:r>
      <w:r>
        <w:t xml:space="preserve">  Direct Testimony of David C. Hawkins at 8-9 (Hawkins Dir.).  </w:t>
      </w:r>
    </w:p>
  </w:footnote>
  <w:footnote w:id="38">
    <w:p w14:paraId="223CDE15" w14:textId="6B1080DE" w:rsidR="00333BA9" w:rsidRDefault="00333BA9" w:rsidP="00DE5123">
      <w:pPr>
        <w:pStyle w:val="FootnoteText"/>
      </w:pPr>
      <w:r>
        <w:rPr>
          <w:rStyle w:val="FootnoteReference"/>
        </w:rPr>
        <w:footnoteRef/>
      </w:r>
      <w:r>
        <w:t xml:space="preserve">  EPE’s response to RFI FMI 1-5.  These capacity factors are based on the Docket No. 46831 Test Year ended September 30, 2016. </w:t>
      </w:r>
    </w:p>
  </w:footnote>
  <w:footnote w:id="39">
    <w:p w14:paraId="142092E4" w14:textId="732CAD3A" w:rsidR="00333BA9" w:rsidRDefault="00333BA9" w:rsidP="00DE5123">
      <w:pPr>
        <w:pStyle w:val="FootnoteText"/>
      </w:pPr>
      <w:r>
        <w:rPr>
          <w:rStyle w:val="FootnoteReference"/>
        </w:rPr>
        <w:footnoteRef/>
      </w:r>
      <w:r>
        <w:t xml:space="preserve">  Based on </w:t>
      </w:r>
      <w:r w:rsidRPr="005121DC">
        <w:t>RFI CEP 4-07, CEP 04-07_Attachment_0</w:t>
      </w:r>
      <w:r>
        <w:t xml:space="preserve">1, the weighted average summer peak capacity factors for </w:t>
      </w:r>
      <w:r w:rsidRPr="002B344A">
        <w:t>NRG, Hatch, and Sun Edison 1&amp;2</w:t>
      </w:r>
      <w:r>
        <w:t xml:space="preserve"> average approximately 65%.  </w:t>
      </w:r>
    </w:p>
  </w:footnote>
  <w:footnote w:id="40">
    <w:p w14:paraId="40AFDE57" w14:textId="13FE81BC" w:rsidR="00333BA9" w:rsidRDefault="00333BA9" w:rsidP="00DE5123">
      <w:pPr>
        <w:pStyle w:val="FootnoteText"/>
      </w:pPr>
      <w:r>
        <w:rPr>
          <w:rStyle w:val="FootnoteReference"/>
        </w:rPr>
        <w:footnoteRef/>
      </w:r>
      <w:r>
        <w:t xml:space="preserve">  </w:t>
      </w:r>
      <w:r w:rsidRPr="002B344A">
        <w:t xml:space="preserve">EPE’s response to RFI FMI 1-5. </w:t>
      </w:r>
    </w:p>
  </w:footnote>
  <w:footnote w:id="41">
    <w:p w14:paraId="35F17B36" w14:textId="181CB8B2" w:rsidR="00333BA9" w:rsidRDefault="00333BA9" w:rsidP="00DE5123">
      <w:pPr>
        <w:pStyle w:val="FootnoteText"/>
      </w:pPr>
      <w:r>
        <w:rPr>
          <w:rStyle w:val="FootnoteReference"/>
        </w:rPr>
        <w:footnoteRef/>
      </w:r>
      <w:r>
        <w:t xml:space="preserve">  Derived from EPE’s response to RFI FMI 2-1, Attachment 15 2020 -Newman and Attachment 13 2020-Macho. </w:t>
      </w:r>
    </w:p>
  </w:footnote>
  <w:footnote w:id="42">
    <w:p w14:paraId="4105137D" w14:textId="20E640AF" w:rsidR="00333BA9" w:rsidRDefault="00333BA9">
      <w:pPr>
        <w:pStyle w:val="FootnoteText"/>
      </w:pPr>
      <w:r>
        <w:rPr>
          <w:rStyle w:val="FootnoteReference"/>
        </w:rPr>
        <w:footnoteRef/>
      </w:r>
      <w:r>
        <w:t xml:space="preserve">  73.27% × $7.20 = $5.28.  66.18% </w:t>
      </w:r>
      <w:r w:rsidRPr="00B96A6D">
        <w:t xml:space="preserve">× $7.20 = </w:t>
      </w:r>
      <w:r>
        <w:t xml:space="preserve">$4.76. </w:t>
      </w:r>
    </w:p>
  </w:footnote>
  <w:footnote w:id="43">
    <w:p w14:paraId="16D30C45" w14:textId="3C4C4002" w:rsidR="00333BA9" w:rsidRDefault="00333BA9">
      <w:pPr>
        <w:pStyle w:val="FootnoteText"/>
      </w:pPr>
      <w:r>
        <w:rPr>
          <w:rStyle w:val="FootnoteReference"/>
        </w:rPr>
        <w:footnoteRef/>
      </w:r>
      <w:r>
        <w:t xml:space="preserve">  ([$5.28 – $2.33]</w:t>
      </w:r>
      <w:r w:rsidRPr="004220DA">
        <w:t xml:space="preserve"> × </w:t>
      </w:r>
      <w:r>
        <w:t>1</w:t>
      </w:r>
      <w:r w:rsidRPr="004220DA">
        <w:t>0,000 x 12</w:t>
      </w:r>
      <w:r>
        <w:t xml:space="preserve">) + ([$4.76 – $2.35] </w:t>
      </w:r>
      <w:r w:rsidRPr="004220DA">
        <w:t>×</w:t>
      </w:r>
      <w:r>
        <w:t xml:space="preserve"> 50,000 x 12) = $1,800,000.  </w:t>
      </w:r>
    </w:p>
  </w:footnote>
  <w:footnote w:id="44">
    <w:p w14:paraId="1094CC1F" w14:textId="6B3BC2EF" w:rsidR="00333BA9" w:rsidRDefault="00333BA9">
      <w:pPr>
        <w:pStyle w:val="FootnoteText"/>
      </w:pPr>
      <w:r>
        <w:rPr>
          <w:rStyle w:val="FootnoteReference"/>
        </w:rPr>
        <w:footnoteRef/>
      </w:r>
      <w:r>
        <w:t xml:space="preserve">  Hernandez Dir. at 20. </w:t>
      </w:r>
    </w:p>
  </w:footnote>
  <w:footnote w:id="45">
    <w:p w14:paraId="531DD6F2" w14:textId="0A585230" w:rsidR="00333BA9" w:rsidRDefault="00333BA9">
      <w:pPr>
        <w:pStyle w:val="FootnoteText"/>
      </w:pPr>
      <w:r>
        <w:rPr>
          <w:rStyle w:val="FootnoteReference"/>
        </w:rPr>
        <w:footnoteRef/>
      </w:r>
      <w:r>
        <w:t xml:space="preserve">  </w:t>
      </w:r>
      <w:r w:rsidRPr="0042530A">
        <w:rPr>
          <w:i/>
          <w:iCs/>
        </w:rPr>
        <w:t>Id.</w:t>
      </w:r>
      <w:r>
        <w:t xml:space="preserve"> </w:t>
      </w:r>
    </w:p>
  </w:footnote>
  <w:footnote w:id="46">
    <w:p w14:paraId="073E1396" w14:textId="6EB243AE" w:rsidR="00333BA9" w:rsidRDefault="00333BA9">
      <w:pPr>
        <w:pStyle w:val="FootnoteText"/>
      </w:pPr>
      <w:r>
        <w:rPr>
          <w:rStyle w:val="FootnoteReference"/>
        </w:rPr>
        <w:footnoteRef/>
      </w:r>
      <w:r>
        <w:rPr>
          <w:i/>
        </w:rPr>
        <w:t xml:space="preserve">  Id.</w:t>
      </w:r>
      <w:r>
        <w:t xml:space="preserve">at 22. </w:t>
      </w:r>
    </w:p>
  </w:footnote>
  <w:footnote w:id="47">
    <w:p w14:paraId="73821AF6" w14:textId="677D34AB" w:rsidR="00333BA9" w:rsidRDefault="00333BA9">
      <w:pPr>
        <w:pStyle w:val="FootnoteText"/>
      </w:pPr>
      <w:r>
        <w:rPr>
          <w:rStyle w:val="FootnoteReference"/>
        </w:rPr>
        <w:footnoteRef/>
      </w:r>
      <w:r>
        <w:t xml:space="preserve">  </w:t>
      </w:r>
      <w:r>
        <w:rPr>
          <w:i/>
        </w:rPr>
        <w:t>Id.</w:t>
      </w:r>
      <w:r>
        <w:t xml:space="preserve"> </w:t>
      </w:r>
    </w:p>
  </w:footnote>
  <w:footnote w:id="48">
    <w:p w14:paraId="71A6EF12" w14:textId="47DB69F7" w:rsidR="00333BA9" w:rsidRDefault="00333BA9">
      <w:pPr>
        <w:pStyle w:val="FootnoteText"/>
      </w:pPr>
      <w:r>
        <w:rPr>
          <w:rStyle w:val="FootnoteReference"/>
        </w:rPr>
        <w:footnoteRef/>
      </w:r>
      <w:r>
        <w:t xml:space="preserve">  </w:t>
      </w:r>
      <w:r w:rsidRPr="00A0594E">
        <w:rPr>
          <w:i/>
          <w:iCs/>
        </w:rPr>
        <w:t>Id</w:t>
      </w:r>
      <w:r>
        <w:t xml:space="preserve">. at 23. </w:t>
      </w:r>
    </w:p>
  </w:footnote>
  <w:footnote w:id="49">
    <w:p w14:paraId="037B3300" w14:textId="477CF708" w:rsidR="00333BA9" w:rsidRDefault="00333BA9">
      <w:pPr>
        <w:pStyle w:val="FootnoteText"/>
      </w:pPr>
      <w:r>
        <w:rPr>
          <w:rStyle w:val="FootnoteReference"/>
        </w:rPr>
        <w:footnoteRef/>
      </w:r>
      <w:r>
        <w:t xml:space="preserve">  </w:t>
      </w:r>
      <w:r>
        <w:rPr>
          <w:i/>
        </w:rPr>
        <w:t>Id.</w:t>
      </w:r>
      <w:r>
        <w:t xml:space="preserve"> at 23-24. </w:t>
      </w:r>
    </w:p>
  </w:footnote>
  <w:footnote w:id="50">
    <w:p w14:paraId="28603469" w14:textId="201DC0A1" w:rsidR="00333BA9" w:rsidRDefault="00333BA9">
      <w:pPr>
        <w:pStyle w:val="FootnoteText"/>
      </w:pPr>
      <w:r>
        <w:rPr>
          <w:rStyle w:val="FootnoteReference"/>
        </w:rPr>
        <w:footnoteRef/>
      </w:r>
      <w:r>
        <w:t xml:space="preserve">  </w:t>
      </w:r>
      <w:r>
        <w:rPr>
          <w:i/>
        </w:rPr>
        <w:t>Id.</w:t>
      </w:r>
      <w:r>
        <w:rPr>
          <w:iCs/>
        </w:rPr>
        <w:t xml:space="preserve"> at </w:t>
      </w:r>
      <w:r w:rsidRPr="00A0594E">
        <w:rPr>
          <w:iCs/>
        </w:rPr>
        <w:t xml:space="preserve">24. </w:t>
      </w:r>
    </w:p>
  </w:footnote>
  <w:footnote w:id="51">
    <w:p w14:paraId="0DC75679" w14:textId="32DD25F1" w:rsidR="00333BA9" w:rsidRDefault="00333BA9">
      <w:pPr>
        <w:pStyle w:val="FootnoteText"/>
      </w:pPr>
      <w:r>
        <w:rPr>
          <w:rStyle w:val="FootnoteReference"/>
        </w:rPr>
        <w:footnoteRef/>
      </w:r>
      <w:r>
        <w:t xml:space="preserve">  </w:t>
      </w:r>
      <w:r>
        <w:rPr>
          <w:i/>
        </w:rPr>
        <w:t>Id.</w:t>
      </w:r>
    </w:p>
  </w:footnote>
  <w:footnote w:id="52">
    <w:p w14:paraId="23F45B9E" w14:textId="3073A859" w:rsidR="00333BA9" w:rsidRDefault="00333BA9">
      <w:pPr>
        <w:pStyle w:val="FootnoteText"/>
      </w:pPr>
      <w:r>
        <w:rPr>
          <w:rStyle w:val="FootnoteReference"/>
        </w:rPr>
        <w:footnoteRef/>
      </w:r>
      <w:r>
        <w:t xml:space="preserve">  </w:t>
      </w:r>
      <w:r w:rsidRPr="00A0594E">
        <w:rPr>
          <w:i/>
          <w:iCs/>
        </w:rPr>
        <w:t>Id</w:t>
      </w:r>
      <w:r w:rsidRPr="00A0594E">
        <w:t>.</w:t>
      </w:r>
      <w:r>
        <w:t xml:space="preserve"> at 25. </w:t>
      </w:r>
    </w:p>
  </w:footnote>
  <w:footnote w:id="53">
    <w:p w14:paraId="52BE1704" w14:textId="0D3DF021" w:rsidR="00333BA9" w:rsidRDefault="00333BA9">
      <w:pPr>
        <w:pStyle w:val="FootnoteText"/>
      </w:pPr>
      <w:r>
        <w:rPr>
          <w:rStyle w:val="FootnoteReference"/>
        </w:rPr>
        <w:footnoteRef/>
      </w:r>
      <w:r>
        <w:t xml:space="preserve">  </w:t>
      </w:r>
      <w:r w:rsidRPr="00A0594E">
        <w:rPr>
          <w:i/>
          <w:iCs/>
        </w:rPr>
        <w:t>Id.</w:t>
      </w:r>
      <w:r>
        <w:t xml:space="preserve"> </w:t>
      </w:r>
    </w:p>
  </w:footnote>
  <w:footnote w:id="54">
    <w:p w14:paraId="126F6D34" w14:textId="1C31C97A" w:rsidR="00333BA9" w:rsidRDefault="00333BA9">
      <w:pPr>
        <w:pStyle w:val="FootnoteText"/>
      </w:pPr>
      <w:r>
        <w:rPr>
          <w:rStyle w:val="FootnoteReference"/>
        </w:rPr>
        <w:footnoteRef/>
      </w:r>
      <w:r>
        <w:t xml:space="preserve">  </w:t>
      </w:r>
      <w:r w:rsidRPr="00A0594E">
        <w:rPr>
          <w:i/>
          <w:iCs/>
        </w:rPr>
        <w:t>Id.</w:t>
      </w:r>
      <w:r>
        <w:t xml:space="preserve"> </w:t>
      </w:r>
    </w:p>
  </w:footnote>
  <w:footnote w:id="55">
    <w:p w14:paraId="334D0785" w14:textId="17EA9712" w:rsidR="00333BA9" w:rsidRDefault="00333BA9">
      <w:pPr>
        <w:pStyle w:val="FootnoteText"/>
      </w:pPr>
      <w:r>
        <w:rPr>
          <w:rStyle w:val="FootnoteReference"/>
        </w:rPr>
        <w:footnoteRef/>
      </w:r>
      <w:r>
        <w:t xml:space="preserve">  </w:t>
      </w:r>
      <w:r>
        <w:rPr>
          <w:i/>
        </w:rPr>
        <w:t xml:space="preserve">Id. </w:t>
      </w:r>
      <w:r w:rsidRPr="00523FF5">
        <w:rPr>
          <w:iCs/>
        </w:rPr>
        <w:t>at</w:t>
      </w:r>
      <w:r>
        <w:rPr>
          <w:i/>
        </w:rPr>
        <w:t xml:space="preserve"> </w:t>
      </w:r>
      <w:r>
        <w:t>26.</w:t>
      </w:r>
    </w:p>
  </w:footnote>
  <w:footnote w:id="56">
    <w:p w14:paraId="2D264F8F" w14:textId="35D00242" w:rsidR="00333BA9" w:rsidRDefault="00333BA9">
      <w:pPr>
        <w:pStyle w:val="FootnoteText"/>
      </w:pPr>
      <w:r>
        <w:rPr>
          <w:rStyle w:val="FootnoteReference"/>
        </w:rPr>
        <w:footnoteRef/>
      </w:r>
      <w:r>
        <w:t xml:space="preserve">  This concept is discussed in the NARUC Electric Utility Cost Allocation Manual, January 1992, p. 49.</w:t>
      </w:r>
    </w:p>
  </w:footnote>
  <w:footnote w:id="57">
    <w:p w14:paraId="7A027400" w14:textId="6C24AF96" w:rsidR="00333BA9" w:rsidRDefault="00333BA9">
      <w:pPr>
        <w:pStyle w:val="FootnoteText"/>
      </w:pPr>
      <w:r>
        <w:rPr>
          <w:rStyle w:val="FootnoteReference"/>
        </w:rPr>
        <w:footnoteRef/>
      </w:r>
      <w:r>
        <w:t xml:space="preserve"> </w:t>
      </w:r>
      <w:bookmarkStart w:id="17" w:name="_Hlk85745710"/>
      <w:r>
        <w:t xml:space="preserve"> </w:t>
      </w:r>
      <w:r>
        <w:rPr>
          <w:i/>
          <w:iCs/>
        </w:rPr>
        <w:t xml:space="preserve">E.g., </w:t>
      </w:r>
      <w:bookmarkEnd w:id="17"/>
      <w:r w:rsidRPr="008A4139">
        <w:t>Docket No. 39896, Final Order at F</w:t>
      </w:r>
      <w:r>
        <w:t>inding of Fact</w:t>
      </w:r>
      <w:r w:rsidRPr="008A4139">
        <w:t xml:space="preserve"> 183 (Sept. 12, 2014)</w:t>
      </w:r>
      <w:r>
        <w:t xml:space="preserve">; </w:t>
      </w:r>
      <w:r w:rsidRPr="00A871AE">
        <w:rPr>
          <w:i/>
          <w:iCs/>
        </w:rPr>
        <w:t>Application of Southwestern Electric Power Company for Authority to Change Rates</w:t>
      </w:r>
      <w:r w:rsidRPr="008A4139">
        <w:t xml:space="preserve">, Docket No. 46449, Final Order at </w:t>
      </w:r>
      <w:r>
        <w:t xml:space="preserve">Finding of Fact </w:t>
      </w:r>
      <w:r w:rsidRPr="008A4139">
        <w:t>2</w:t>
      </w:r>
      <w:r>
        <w:t xml:space="preserve">77 </w:t>
      </w:r>
      <w:r w:rsidRPr="008A4139">
        <w:t>(Jan. 11, 2018)</w:t>
      </w:r>
      <w:r>
        <w:t xml:space="preserve">; </w:t>
      </w:r>
      <w:r w:rsidRPr="008A4139">
        <w:rPr>
          <w:i/>
          <w:iCs/>
        </w:rPr>
        <w:t>Application of Southwestern Public Service Company for Authority to Change Rates</w:t>
      </w:r>
      <w:r w:rsidRPr="008A4139">
        <w:t>, Docket No. 43695, Final Order at F</w:t>
      </w:r>
      <w:r>
        <w:t>inding of Fact</w:t>
      </w:r>
      <w:r w:rsidRPr="008A4139">
        <w:t xml:space="preserve"> 3</w:t>
      </w:r>
      <w:r>
        <w:t>59</w:t>
      </w:r>
      <w:r w:rsidRPr="008A4139">
        <w:t xml:space="preserve"> (Dec. 18, 2015)</w:t>
      </w:r>
      <w:r>
        <w:t>.</w:t>
      </w:r>
    </w:p>
  </w:footnote>
  <w:footnote w:id="58">
    <w:p w14:paraId="134B1942" w14:textId="08BE385D" w:rsidR="00333BA9" w:rsidRDefault="00333BA9">
      <w:pPr>
        <w:pStyle w:val="FootnoteText"/>
      </w:pPr>
      <w:r>
        <w:rPr>
          <w:rStyle w:val="FootnoteReference"/>
        </w:rPr>
        <w:footnoteRef/>
      </w:r>
      <w:r>
        <w:t xml:space="preserve">  This calculation can also be expressed as average demand divided by peak demand.</w:t>
      </w:r>
    </w:p>
  </w:footnote>
  <w:footnote w:id="59">
    <w:p w14:paraId="1CFBBCEC" w14:textId="489A8942" w:rsidR="00333BA9" w:rsidRDefault="00333BA9">
      <w:pPr>
        <w:pStyle w:val="FootnoteText"/>
      </w:pPr>
      <w:r>
        <w:rPr>
          <w:rStyle w:val="FootnoteReference"/>
        </w:rPr>
        <w:footnoteRef/>
      </w:r>
      <w:r>
        <w:t xml:space="preserve">  Novela Dir. at 9-10. </w:t>
      </w:r>
    </w:p>
  </w:footnote>
  <w:footnote w:id="60">
    <w:p w14:paraId="28CFF0DB" w14:textId="6458D25E" w:rsidR="00333BA9" w:rsidRDefault="00333BA9">
      <w:pPr>
        <w:pStyle w:val="FootnoteText"/>
      </w:pPr>
      <w:r>
        <w:rPr>
          <w:rStyle w:val="FootnoteReference"/>
        </w:rPr>
        <w:footnoteRef/>
      </w:r>
      <w:r>
        <w:t xml:space="preserve">  NARUC Electric Utility Cost Allocation Manual, January 1992, p. 50.</w:t>
      </w:r>
    </w:p>
  </w:footnote>
  <w:footnote w:id="61">
    <w:p w14:paraId="70D85045" w14:textId="21EEBDFD" w:rsidR="00333BA9" w:rsidRDefault="00333BA9">
      <w:pPr>
        <w:pStyle w:val="FootnoteText"/>
      </w:pPr>
      <w:r>
        <w:rPr>
          <w:rStyle w:val="FootnoteReference"/>
        </w:rPr>
        <w:footnoteRef/>
      </w:r>
      <w:r>
        <w:t xml:space="preserve">  </w:t>
      </w:r>
      <w:r w:rsidRPr="00523FF5">
        <w:rPr>
          <w:i/>
          <w:iCs/>
        </w:rPr>
        <w:t>See</w:t>
      </w:r>
      <w:r>
        <w:t xml:space="preserve"> EPE 2021 Integrated Resource Plan (September 16, 2021), Figure 11. Initial L&amp;R at 59.  2021 demand cited is Total System Demand net of Distributed Generation and Energy Efficiency.  </w:t>
      </w:r>
      <w:r w:rsidRPr="00523FF5">
        <w:rPr>
          <w:i/>
          <w:iCs/>
        </w:rPr>
        <w:t>See also</w:t>
      </w:r>
      <w:r>
        <w:t xml:space="preserve"> Hawkins Dir. at Exhibit DCH-3. </w:t>
      </w:r>
    </w:p>
  </w:footnote>
  <w:footnote w:id="62">
    <w:p w14:paraId="56D7411E" w14:textId="3B5E6DFE" w:rsidR="00333BA9" w:rsidRPr="00221C1B" w:rsidRDefault="00333BA9" w:rsidP="0078036E">
      <w:pPr>
        <w:pStyle w:val="FootnoteText"/>
      </w:pPr>
      <w:r>
        <w:rPr>
          <w:rStyle w:val="FootnoteReference"/>
        </w:rPr>
        <w:footnoteRef/>
      </w:r>
      <w:r>
        <w:t xml:space="preserve">  </w:t>
      </w:r>
      <w:r>
        <w:rPr>
          <w:i/>
          <w:iCs/>
        </w:rPr>
        <w:t>Application of El Paso Electric Company for Authority to Change Rates</w:t>
      </w:r>
      <w:r>
        <w:t>, Docket No. 46831, Rebuttal Testimony of George Novella at 23 (July 21, 2017).</w:t>
      </w:r>
    </w:p>
  </w:footnote>
  <w:footnote w:id="63">
    <w:p w14:paraId="66AE2C10" w14:textId="4AF5161C" w:rsidR="00333BA9" w:rsidRDefault="00333BA9">
      <w:pPr>
        <w:pStyle w:val="FootnoteText"/>
      </w:pPr>
      <w:r>
        <w:rPr>
          <w:rStyle w:val="FootnoteReference"/>
        </w:rPr>
        <w:footnoteRef/>
      </w:r>
      <w:r>
        <w:t xml:space="preserve">  </w:t>
      </w:r>
      <w:r w:rsidRPr="00971DDE">
        <w:t>Docket No. 43695, Final Order at 10-11, F</w:t>
      </w:r>
      <w:r>
        <w:t>indings of Fact</w:t>
      </w:r>
      <w:r w:rsidRPr="00971DDE">
        <w:t xml:space="preserve"> 246A-251A (Dec. 18, 2015).</w:t>
      </w:r>
    </w:p>
  </w:footnote>
  <w:footnote w:id="64">
    <w:p w14:paraId="11B75046" w14:textId="2F313590" w:rsidR="00333BA9" w:rsidRDefault="00333BA9">
      <w:pPr>
        <w:pStyle w:val="FootnoteText"/>
      </w:pPr>
      <w:r>
        <w:rPr>
          <w:rStyle w:val="FootnoteReference"/>
        </w:rPr>
        <w:footnoteRef/>
      </w:r>
      <w:r>
        <w:t xml:space="preserve">  </w:t>
      </w:r>
      <w:r w:rsidRPr="00971DDE">
        <w:t>Docket No. 46449, Final Order at F</w:t>
      </w:r>
      <w:r>
        <w:t>indings of Fact</w:t>
      </w:r>
      <w:r w:rsidRPr="00971DDE">
        <w:t xml:space="preserve"> 277-284 (Jan. 11, 2018).</w:t>
      </w:r>
    </w:p>
  </w:footnote>
  <w:footnote w:id="65">
    <w:p w14:paraId="50241758" w14:textId="273E7BD3" w:rsidR="00333BA9" w:rsidRPr="00357C9E" w:rsidRDefault="00333BA9" w:rsidP="006F2107">
      <w:pPr>
        <w:pStyle w:val="FootnoteText"/>
      </w:pPr>
      <w:r w:rsidRPr="00357C9E">
        <w:rPr>
          <w:rStyle w:val="FootnoteReference"/>
        </w:rPr>
        <w:footnoteRef/>
      </w:r>
      <w:r w:rsidRPr="00357C9E">
        <w:t xml:space="preserve"> </w:t>
      </w:r>
      <w:r>
        <w:t xml:space="preserve"> </w:t>
      </w:r>
      <w:r w:rsidRPr="00523FF5">
        <w:rPr>
          <w:i/>
          <w:iCs/>
        </w:rPr>
        <w:t>See</w:t>
      </w:r>
      <w:r w:rsidRPr="00357C9E">
        <w:t xml:space="preserve"> EPE’s WP P-07. </w:t>
      </w:r>
    </w:p>
  </w:footnote>
  <w:footnote w:id="66">
    <w:p w14:paraId="381A0693" w14:textId="23210879" w:rsidR="00333BA9" w:rsidRPr="00357C9E" w:rsidRDefault="00333BA9" w:rsidP="006F2107">
      <w:pPr>
        <w:pStyle w:val="FootnoteText"/>
      </w:pPr>
      <w:r w:rsidRPr="00357C9E">
        <w:rPr>
          <w:rStyle w:val="FootnoteReference"/>
        </w:rPr>
        <w:footnoteRef/>
      </w:r>
      <w:r w:rsidRPr="00357C9E">
        <w:t xml:space="preserve"> </w:t>
      </w:r>
      <w:r>
        <w:t xml:space="preserve"> </w:t>
      </w:r>
      <w:r w:rsidRPr="00357C9E">
        <w:t xml:space="preserve">Schedule O-01-03. </w:t>
      </w:r>
    </w:p>
  </w:footnote>
  <w:footnote w:id="67">
    <w:p w14:paraId="597B0580" w14:textId="454ED3FC" w:rsidR="00333BA9" w:rsidRDefault="00333BA9" w:rsidP="006F2107">
      <w:pPr>
        <w:pStyle w:val="FootnoteText"/>
      </w:pPr>
      <w:r w:rsidRPr="00357C9E">
        <w:rPr>
          <w:rStyle w:val="FootnoteReference"/>
        </w:rPr>
        <w:footnoteRef/>
      </w:r>
      <w:r w:rsidRPr="00357C9E">
        <w:t xml:space="preserve"> </w:t>
      </w:r>
      <w:r>
        <w:t xml:space="preserve"> </w:t>
      </w:r>
      <w:r w:rsidRPr="00357C9E">
        <w:t>Exhibit KCH-7 also presents the 1CP load factor applicable to the jurisdictional A&amp;E/4CP allocator. The jurisdictional cost allocation includes an adjustment that removes from the calculation the solar generation that has been directly assigned to a jurisdiction</w:t>
      </w:r>
      <w:r>
        <w:t xml:space="preserve">.  </w:t>
      </w:r>
    </w:p>
  </w:footnote>
  <w:footnote w:id="68">
    <w:p w14:paraId="123E66D8" w14:textId="565ADCAF" w:rsidR="00333BA9" w:rsidRDefault="00333BA9">
      <w:pPr>
        <w:pStyle w:val="FootnoteText"/>
      </w:pPr>
      <w:r>
        <w:rPr>
          <w:rStyle w:val="FootnoteReference"/>
        </w:rPr>
        <w:footnoteRef/>
      </w:r>
      <w:r>
        <w:t xml:space="preserve">  </w:t>
      </w:r>
      <w:r w:rsidRPr="001F7611">
        <w:t>EPE Regulatory Case Working Model - As Filed - Dkt 52195</w:t>
      </w:r>
      <w:r>
        <w:t xml:space="preserve">. </w:t>
      </w:r>
    </w:p>
  </w:footnote>
  <w:footnote w:id="69">
    <w:p w14:paraId="2D0AE3C6" w14:textId="76D11AAF" w:rsidR="00333BA9" w:rsidRDefault="00333BA9">
      <w:pPr>
        <w:pStyle w:val="FootnoteText"/>
      </w:pPr>
      <w:r>
        <w:rPr>
          <w:rStyle w:val="FootnoteReference"/>
        </w:rPr>
        <w:footnoteRef/>
      </w:r>
      <w:r>
        <w:t xml:space="preserve">  </w:t>
      </w:r>
      <w:r w:rsidRPr="00523FF5">
        <w:rPr>
          <w:i/>
          <w:iCs/>
        </w:rPr>
        <w:t>See</w:t>
      </w:r>
      <w:r>
        <w:t xml:space="preserve"> Docket No. 46831, Cross Rebuttal Testimony of Kevin C. Higgins, p. 12, lines 16-18. </w:t>
      </w:r>
    </w:p>
  </w:footnote>
  <w:footnote w:id="70">
    <w:p w14:paraId="6574E7F2" w14:textId="09F91320" w:rsidR="00333BA9" w:rsidRDefault="00333BA9">
      <w:pPr>
        <w:pStyle w:val="FootnoteText"/>
      </w:pPr>
      <w:r>
        <w:rPr>
          <w:rStyle w:val="FootnoteReference"/>
        </w:rPr>
        <w:footnoteRef/>
      </w:r>
      <w:r>
        <w:t xml:space="preserve">  Hernandez Dir. at 13. </w:t>
      </w:r>
      <w:r w:rsidR="00D86A7B">
        <w:t xml:space="preserve"> </w:t>
      </w:r>
      <w:r>
        <w:t>The class DPROD12 allocator is derived in WP P-07, 12CP Adj tab (labeled “D1PROD 12CP-A&amp;E”).</w:t>
      </w:r>
    </w:p>
  </w:footnote>
  <w:footnote w:id="71">
    <w:p w14:paraId="42659ACA" w14:textId="4EE0AC3A" w:rsidR="00333BA9" w:rsidRDefault="00333BA9">
      <w:pPr>
        <w:pStyle w:val="FootnoteText"/>
      </w:pPr>
      <w:r>
        <w:rPr>
          <w:rStyle w:val="FootnoteReference"/>
        </w:rPr>
        <w:footnoteRef/>
      </w:r>
      <w:r>
        <w:t xml:space="preserve"> </w:t>
      </w:r>
      <w:bookmarkStart w:id="23" w:name="_Hlk85748243"/>
      <w:r>
        <w:t xml:space="preserve"> Docket No. 46449, Commission Number Run Based on December 14, 2017 Open Meeting Discussion, 46449 Commission Number Run CCOSS, Tab GEN DEMAND, line 421. (Dec. 20, 2017).</w:t>
      </w:r>
      <w:bookmarkEnd w:id="23"/>
    </w:p>
  </w:footnote>
  <w:footnote w:id="72">
    <w:p w14:paraId="603257C2" w14:textId="1C3C13CD" w:rsidR="00333BA9" w:rsidRPr="0051550B" w:rsidRDefault="00333BA9">
      <w:pPr>
        <w:pStyle w:val="FootnoteText"/>
      </w:pPr>
      <w:r>
        <w:rPr>
          <w:rStyle w:val="FootnoteReference"/>
        </w:rPr>
        <w:footnoteRef/>
      </w:r>
      <w:r>
        <w:t xml:space="preserve">  </w:t>
      </w:r>
      <w:r>
        <w:rPr>
          <w:i/>
          <w:iCs/>
        </w:rPr>
        <w:t>Application of Entergy Texas, Inc. for Authority to Change Rates</w:t>
      </w:r>
      <w:r>
        <w:t>, Docket No. 48371, Cost Allocation/Rate Design Rebuttal Testimony of Richard Lain at 8-9 (Aug. 16, 2018).</w:t>
      </w:r>
    </w:p>
  </w:footnote>
  <w:footnote w:id="73">
    <w:p w14:paraId="0EB5AE15" w14:textId="6562C36C" w:rsidR="00333BA9" w:rsidRDefault="00333BA9">
      <w:pPr>
        <w:pStyle w:val="FootnoteText"/>
      </w:pPr>
      <w:r>
        <w:rPr>
          <w:rStyle w:val="FootnoteReference"/>
        </w:rPr>
        <w:footnoteRef/>
      </w:r>
      <w:r>
        <w:t xml:space="preserve">  Hernandez Dir. at 14. </w:t>
      </w:r>
    </w:p>
  </w:footnote>
  <w:footnote w:id="74">
    <w:p w14:paraId="6ECEEC16" w14:textId="18EFFB6D" w:rsidR="00333BA9" w:rsidRDefault="00333BA9">
      <w:pPr>
        <w:pStyle w:val="FootnoteText"/>
      </w:pPr>
      <w:r>
        <w:rPr>
          <w:rStyle w:val="FootnoteReference"/>
        </w:rPr>
        <w:footnoteRef/>
      </w:r>
      <w:r>
        <w:t xml:space="preserve">  Direct Testimony of R. Clay Doyle at 5-6 . </w:t>
      </w:r>
    </w:p>
  </w:footnote>
  <w:footnote w:id="75">
    <w:p w14:paraId="6CA39E9D" w14:textId="4A2B7CE2" w:rsidR="00333BA9" w:rsidRDefault="00333BA9" w:rsidP="0035042D">
      <w:pPr>
        <w:pStyle w:val="FootnoteText"/>
      </w:pPr>
      <w:r>
        <w:rPr>
          <w:rStyle w:val="FootnoteReference"/>
        </w:rPr>
        <w:footnoteRef/>
      </w:r>
      <w:r>
        <w:t xml:space="preserve">  </w:t>
      </w:r>
      <w:r w:rsidRPr="00523FF5">
        <w:rPr>
          <w:i/>
          <w:iCs/>
        </w:rPr>
        <w:t>Id.</w:t>
      </w:r>
      <w:r>
        <w:t xml:space="preserve"> at 6. </w:t>
      </w:r>
    </w:p>
  </w:footnote>
  <w:footnote w:id="76">
    <w:p w14:paraId="03B47EA3" w14:textId="6911D4BA" w:rsidR="00333BA9" w:rsidRDefault="00333BA9">
      <w:pPr>
        <w:pStyle w:val="FootnoteText"/>
      </w:pPr>
      <w:r>
        <w:rPr>
          <w:rStyle w:val="FootnoteReference"/>
        </w:rPr>
        <w:footnoteRef/>
      </w:r>
      <w:r>
        <w:t xml:space="preserve">  EPE’s response to RFI TIEC 5-2, Attachments 1 and 2. </w:t>
      </w:r>
    </w:p>
  </w:footnote>
  <w:footnote w:id="77">
    <w:p w14:paraId="4052691D" w14:textId="3DE3ABBF" w:rsidR="00333BA9" w:rsidRDefault="00333BA9" w:rsidP="008C52A1">
      <w:pPr>
        <w:pStyle w:val="FootnoteText"/>
      </w:pPr>
      <w:r>
        <w:rPr>
          <w:rStyle w:val="FootnoteReference"/>
        </w:rPr>
        <w:footnoteRef/>
      </w:r>
      <w:r>
        <w:t xml:space="preserve">  EPE’s loss factors are based on a </w:t>
      </w:r>
      <w:r w:rsidRPr="00781FB7">
        <w:t>2017 Analysis of System Losses by Management Applications Consulting, Inc</w:t>
      </w:r>
      <w:r>
        <w:t xml:space="preserve">., provided in Schedule O-6.3. </w:t>
      </w:r>
    </w:p>
  </w:footnote>
  <w:footnote w:id="78">
    <w:p w14:paraId="618D4B10" w14:textId="62409F1E" w:rsidR="00333BA9" w:rsidRDefault="00333BA9">
      <w:pPr>
        <w:pStyle w:val="FootnoteText"/>
      </w:pPr>
      <w:r>
        <w:rPr>
          <w:rStyle w:val="FootnoteReference"/>
        </w:rPr>
        <w:footnoteRef/>
      </w:r>
      <w:r>
        <w:t xml:space="preserve">  </w:t>
      </w:r>
      <w:r w:rsidRPr="00BB377B">
        <w:t>EPE Regulatory Case Working Model - As Filed - Dkt 52195</w:t>
      </w:r>
      <w:r>
        <w:t xml:space="preserve">, “Jurisdiction Allocation” and “Rate Class Allocation” tabs. Contributions and Donations are included in the “930200-GENL-MISC GENERAL EXP” item. </w:t>
      </w:r>
    </w:p>
  </w:footnote>
  <w:footnote w:id="79">
    <w:p w14:paraId="4AB8C223" w14:textId="0162CDFC" w:rsidR="00333BA9" w:rsidRDefault="00333BA9">
      <w:pPr>
        <w:pStyle w:val="FootnoteText"/>
      </w:pPr>
      <w:r>
        <w:rPr>
          <w:rStyle w:val="FootnoteReference"/>
        </w:rPr>
        <w:footnoteRef/>
      </w:r>
      <w:r>
        <w:t xml:space="preserve">  Direct Testimony of Manuel Carrasco at 14-15, Exhibit MC-4. </w:t>
      </w:r>
    </w:p>
  </w:footnote>
  <w:footnote w:id="80">
    <w:p w14:paraId="256A8DEB" w14:textId="4684F4E5" w:rsidR="00333BA9" w:rsidRDefault="00333BA9">
      <w:pPr>
        <w:pStyle w:val="FootnoteText"/>
      </w:pPr>
      <w:r>
        <w:rPr>
          <w:rStyle w:val="FootnoteReference"/>
        </w:rPr>
        <w:footnoteRef/>
      </w:r>
      <w:r>
        <w:t xml:space="preserve">  </w:t>
      </w:r>
      <w:r>
        <w:rPr>
          <w:i/>
          <w:iCs/>
        </w:rPr>
        <w:t xml:space="preserve">Id. </w:t>
      </w:r>
      <w:r>
        <w:t xml:space="preserve">at </w:t>
      </w:r>
      <w:r w:rsidRPr="00F62B80">
        <w:t>1</w:t>
      </w:r>
      <w:r>
        <w:t xml:space="preserve">5.  </w:t>
      </w:r>
    </w:p>
  </w:footnote>
  <w:footnote w:id="81">
    <w:p w14:paraId="38484225" w14:textId="29F6CEE3" w:rsidR="00333BA9" w:rsidRPr="00CE5357" w:rsidRDefault="00333BA9">
      <w:pPr>
        <w:pStyle w:val="FootnoteText"/>
      </w:pPr>
      <w:r w:rsidRPr="00CE5357">
        <w:rPr>
          <w:rStyle w:val="FootnoteReference"/>
        </w:rPr>
        <w:footnoteRef/>
      </w:r>
      <w:r w:rsidRPr="00CE5357">
        <w:t xml:space="preserve"> </w:t>
      </w:r>
      <w:r>
        <w:t xml:space="preserve"> </w:t>
      </w:r>
      <w:r w:rsidRPr="00CE5357">
        <w:t xml:space="preserve">The cited percentage increases do not include EPE’s proposed COVID rider. </w:t>
      </w:r>
    </w:p>
  </w:footnote>
  <w:footnote w:id="82">
    <w:p w14:paraId="3471AD34" w14:textId="0BC45DF2" w:rsidR="00333BA9" w:rsidRPr="00C920B7" w:rsidRDefault="00333BA9">
      <w:pPr>
        <w:pStyle w:val="FootnoteText"/>
        <w:rPr>
          <w:highlight w:val="green"/>
        </w:rPr>
      </w:pPr>
      <w:r w:rsidRPr="00CE5357">
        <w:rPr>
          <w:rStyle w:val="FootnoteReference"/>
        </w:rPr>
        <w:footnoteRef/>
      </w:r>
      <w:r w:rsidRPr="00CE5357">
        <w:t xml:space="preserve"> </w:t>
      </w:r>
      <w:r>
        <w:t xml:space="preserve"> </w:t>
      </w:r>
      <w:r w:rsidRPr="00CE5357">
        <w:t xml:space="preserve">Docket No. 43695, Order at 10. (Dec. 18, 2015) (Citations omitted.) </w:t>
      </w:r>
    </w:p>
  </w:footnote>
  <w:footnote w:id="83">
    <w:p w14:paraId="080E824E" w14:textId="240BF2CF" w:rsidR="00333BA9" w:rsidRPr="00CE5357" w:rsidRDefault="00333BA9">
      <w:pPr>
        <w:pStyle w:val="FootnoteText"/>
      </w:pPr>
      <w:r w:rsidRPr="00CE5357">
        <w:rPr>
          <w:rStyle w:val="FootnoteReference"/>
        </w:rPr>
        <w:footnoteRef/>
      </w:r>
      <w:r w:rsidRPr="00CE5357">
        <w:t xml:space="preserve"> </w:t>
      </w:r>
      <w:r>
        <w:t xml:space="preserve"> </w:t>
      </w:r>
      <w:r w:rsidRPr="00CE5357">
        <w:t>Docket No. 40443, Order on Rehearing, Attachment C, p. 1 (Mar. 6, 2014).</w:t>
      </w:r>
    </w:p>
  </w:footnote>
  <w:footnote w:id="84">
    <w:p w14:paraId="2FA998B8" w14:textId="796EC4EA" w:rsidR="00333BA9" w:rsidRDefault="00333BA9">
      <w:pPr>
        <w:pStyle w:val="FootnoteText"/>
      </w:pPr>
      <w:r w:rsidRPr="00CE5357">
        <w:rPr>
          <w:rStyle w:val="FootnoteReference"/>
        </w:rPr>
        <w:footnoteRef/>
      </w:r>
      <w:r w:rsidRPr="00CE5357">
        <w:t xml:space="preserve"> </w:t>
      </w:r>
      <w:r>
        <w:t xml:space="preserve"> </w:t>
      </w:r>
      <w:r w:rsidRPr="00CE5357">
        <w:t>Docket No. 39896, Commission Number Run 39896 ETI COS (Aug. 28, 2012).</w:t>
      </w:r>
    </w:p>
  </w:footnote>
  <w:footnote w:id="85">
    <w:p w14:paraId="3D23415F" w14:textId="29853D6B" w:rsidR="00333BA9" w:rsidRDefault="00333BA9">
      <w:pPr>
        <w:pStyle w:val="FootnoteText"/>
      </w:pPr>
      <w:r>
        <w:rPr>
          <w:rStyle w:val="FootnoteReference"/>
        </w:rPr>
        <w:footnoteRef/>
      </w:r>
      <w:r>
        <w:t xml:space="preserve">  Schedule Q-8.8, p. 51.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BC5734" w14:textId="77777777" w:rsidR="00333BA9" w:rsidRDefault="00333BA9">
    <w:pPr>
      <w:pStyle w:val="Header"/>
      <w:tabs>
        <w:tab w:val="clear" w:pos="4680"/>
        <w:tab w:val="clear" w:pos="9360"/>
        <w:tab w:val="left" w:pos="8064"/>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56A2EF" w14:textId="2693E0A1" w:rsidR="00333BA9" w:rsidRPr="00DA22E8" w:rsidRDefault="00333BA9" w:rsidP="00DA2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3E304E" w14:textId="77777777" w:rsidR="00333BA9" w:rsidRDefault="00333BA9">
    <w:pPr>
      <w:pStyle w:val="Header"/>
      <w:tabs>
        <w:tab w:val="clear" w:pos="4680"/>
        <w:tab w:val="clear" w:pos="9360"/>
        <w:tab w:val="left" w:pos="8064"/>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8EF027" w14:textId="77777777" w:rsidR="00333BA9" w:rsidRDefault="00333BA9">
    <w:pPr>
      <w:pStyle w:val="Header"/>
      <w:jc w:val="right"/>
    </w:pPr>
    <w:r>
      <w:t>Direct Testimony of Kevin C. Higgins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E608CC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EBA5D58"/>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6E6EF9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E141C0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2444BC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2A493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C78B4B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892C26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0F62E64"/>
    <w:lvl w:ilvl="0">
      <w:start w:val="1"/>
      <w:numFmt w:val="decimal"/>
      <w:pStyle w:val="ListNumber"/>
      <w:lvlText w:val="%1."/>
      <w:lvlJc w:val="left"/>
      <w:pPr>
        <w:tabs>
          <w:tab w:val="num" w:pos="1440"/>
        </w:tabs>
        <w:ind w:left="0" w:firstLine="720"/>
      </w:pPr>
      <w:rPr>
        <w:rFonts w:hint="default"/>
      </w:rPr>
    </w:lvl>
  </w:abstractNum>
  <w:abstractNum w:abstractNumId="9" w15:restartNumberingAfterBreak="0">
    <w:nsid w:val="FFFFFF89"/>
    <w:multiLevelType w:val="singleLevel"/>
    <w:tmpl w:val="F6CCB584"/>
    <w:lvl w:ilvl="0">
      <w:start w:val="1"/>
      <w:numFmt w:val="bullet"/>
      <w:pStyle w:val="ListBullet"/>
      <w:lvlText w:val=""/>
      <w:lvlJc w:val="left"/>
      <w:pPr>
        <w:tabs>
          <w:tab w:val="num" w:pos="1224"/>
        </w:tabs>
        <w:ind w:left="1224" w:hanging="504"/>
      </w:pPr>
      <w:rPr>
        <w:rFonts w:ascii="Symbol" w:hAnsi="Symbol" w:hint="default"/>
      </w:rPr>
    </w:lvl>
  </w:abstractNum>
  <w:abstractNum w:abstractNumId="10" w15:restartNumberingAfterBreak="0">
    <w:nsid w:val="0DFB1156"/>
    <w:multiLevelType w:val="hybridMultilevel"/>
    <w:tmpl w:val="A00A3F1A"/>
    <w:lvl w:ilvl="0" w:tplc="5D7498A4">
      <w:start w:val="1"/>
      <w:numFmt w:val="upperLetter"/>
      <w:lvlText w:val="%1."/>
      <w:lvlJc w:val="left"/>
      <w:pPr>
        <w:ind w:left="720" w:hanging="360"/>
      </w:pPr>
      <w:rPr>
        <w:rFonts w:hint="default"/>
      </w:rPr>
    </w:lvl>
    <w:lvl w:ilvl="1" w:tplc="72B635CC" w:tentative="1">
      <w:start w:val="1"/>
      <w:numFmt w:val="lowerLetter"/>
      <w:lvlText w:val="%2."/>
      <w:lvlJc w:val="left"/>
      <w:pPr>
        <w:ind w:left="1440" w:hanging="360"/>
      </w:pPr>
    </w:lvl>
    <w:lvl w:ilvl="2" w:tplc="428C7E2C" w:tentative="1">
      <w:start w:val="1"/>
      <w:numFmt w:val="lowerRoman"/>
      <w:lvlText w:val="%3."/>
      <w:lvlJc w:val="right"/>
      <w:pPr>
        <w:ind w:left="2160" w:hanging="180"/>
      </w:pPr>
    </w:lvl>
    <w:lvl w:ilvl="3" w:tplc="E3946100" w:tentative="1">
      <w:start w:val="1"/>
      <w:numFmt w:val="decimal"/>
      <w:lvlText w:val="%4."/>
      <w:lvlJc w:val="left"/>
      <w:pPr>
        <w:ind w:left="2880" w:hanging="360"/>
      </w:pPr>
    </w:lvl>
    <w:lvl w:ilvl="4" w:tplc="AA30770C" w:tentative="1">
      <w:start w:val="1"/>
      <w:numFmt w:val="lowerLetter"/>
      <w:lvlText w:val="%5."/>
      <w:lvlJc w:val="left"/>
      <w:pPr>
        <w:ind w:left="3600" w:hanging="360"/>
      </w:pPr>
    </w:lvl>
    <w:lvl w:ilvl="5" w:tplc="6D8061EA" w:tentative="1">
      <w:start w:val="1"/>
      <w:numFmt w:val="lowerRoman"/>
      <w:lvlText w:val="%6."/>
      <w:lvlJc w:val="right"/>
      <w:pPr>
        <w:ind w:left="4320" w:hanging="180"/>
      </w:pPr>
    </w:lvl>
    <w:lvl w:ilvl="6" w:tplc="BAA82D34" w:tentative="1">
      <w:start w:val="1"/>
      <w:numFmt w:val="decimal"/>
      <w:lvlText w:val="%7."/>
      <w:lvlJc w:val="left"/>
      <w:pPr>
        <w:ind w:left="5040" w:hanging="360"/>
      </w:pPr>
    </w:lvl>
    <w:lvl w:ilvl="7" w:tplc="8FDC5EFC" w:tentative="1">
      <w:start w:val="1"/>
      <w:numFmt w:val="lowerLetter"/>
      <w:lvlText w:val="%8."/>
      <w:lvlJc w:val="left"/>
      <w:pPr>
        <w:ind w:left="5760" w:hanging="360"/>
      </w:pPr>
    </w:lvl>
    <w:lvl w:ilvl="8" w:tplc="4492F470" w:tentative="1">
      <w:start w:val="1"/>
      <w:numFmt w:val="lowerRoman"/>
      <w:lvlText w:val="%9."/>
      <w:lvlJc w:val="right"/>
      <w:pPr>
        <w:ind w:left="6480" w:hanging="180"/>
      </w:pPr>
    </w:lvl>
  </w:abstractNum>
  <w:abstractNum w:abstractNumId="11" w15:restartNumberingAfterBreak="0">
    <w:nsid w:val="0EDF45D5"/>
    <w:multiLevelType w:val="hybridMultilevel"/>
    <w:tmpl w:val="E020E666"/>
    <w:lvl w:ilvl="0" w:tplc="560EECC6">
      <w:start w:val="1"/>
      <w:numFmt w:val="upperRoman"/>
      <w:pStyle w:val="Heading1"/>
      <w:lvlText w:val="%1."/>
      <w:lvlJc w:val="left"/>
      <w:pPr>
        <w:ind w:left="72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93913"/>
    <w:multiLevelType w:val="hybridMultilevel"/>
    <w:tmpl w:val="761EFE10"/>
    <w:lvl w:ilvl="0" w:tplc="C99AC256">
      <w:start w:val="1"/>
      <w:numFmt w:val="upperRoman"/>
      <w:lvlText w:val="%1."/>
      <w:lvlJc w:val="left"/>
      <w:pPr>
        <w:tabs>
          <w:tab w:val="num" w:pos="720"/>
        </w:tabs>
        <w:ind w:left="0" w:firstLine="0"/>
      </w:pPr>
      <w:rPr>
        <w:rFonts w:hint="default"/>
        <w:b/>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90D3DAA"/>
    <w:multiLevelType w:val="hybridMultilevel"/>
    <w:tmpl w:val="EC18D42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195451A9"/>
    <w:multiLevelType w:val="hybridMultilevel"/>
    <w:tmpl w:val="BF3C1406"/>
    <w:lvl w:ilvl="0" w:tplc="29004BD0">
      <w:start w:val="1"/>
      <w:numFmt w:val="bullet"/>
      <w:lvlText w:val=""/>
      <w:lvlJc w:val="left"/>
      <w:pPr>
        <w:tabs>
          <w:tab w:val="num" w:pos="1440"/>
        </w:tabs>
        <w:ind w:left="1440" w:hanging="720"/>
      </w:pPr>
      <w:rPr>
        <w:rFonts w:ascii="Symbol" w:hAnsi="Symbol" w:cs="Symbol" w:hint="default"/>
        <w:b/>
        <w:i w:val="0"/>
        <w:sz w:val="2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5" w15:restartNumberingAfterBreak="0">
    <w:nsid w:val="1D6C62B9"/>
    <w:multiLevelType w:val="hybridMultilevel"/>
    <w:tmpl w:val="B4F22EEE"/>
    <w:lvl w:ilvl="0" w:tplc="6C2EA5A4">
      <w:start w:val="1"/>
      <w:numFmt w:val="none"/>
      <w:pStyle w:val="ANSWER"/>
      <w:lvlText w:val="%1A."/>
      <w:lvlJc w:val="left"/>
      <w:pPr>
        <w:tabs>
          <w:tab w:val="num" w:pos="810"/>
        </w:tabs>
        <w:ind w:left="810" w:hanging="720"/>
      </w:pPr>
      <w:rPr>
        <w:rFonts w:hint="default"/>
        <w:b/>
        <w:i w:val="0"/>
        <w:sz w:val="24"/>
      </w:rPr>
    </w:lvl>
    <w:lvl w:ilvl="1" w:tplc="04090019" w:tentative="1">
      <w:start w:val="1"/>
      <w:numFmt w:val="lowerLetter"/>
      <w:lvlText w:val="%2."/>
      <w:lvlJc w:val="left"/>
      <w:pPr>
        <w:tabs>
          <w:tab w:val="num" w:pos="270"/>
        </w:tabs>
        <w:ind w:left="270" w:hanging="360"/>
      </w:pPr>
    </w:lvl>
    <w:lvl w:ilvl="2" w:tplc="0409001B" w:tentative="1">
      <w:start w:val="1"/>
      <w:numFmt w:val="lowerRoman"/>
      <w:lvlText w:val="%3."/>
      <w:lvlJc w:val="right"/>
      <w:pPr>
        <w:tabs>
          <w:tab w:val="num" w:pos="990"/>
        </w:tabs>
        <w:ind w:left="990" w:hanging="180"/>
      </w:pPr>
    </w:lvl>
    <w:lvl w:ilvl="3" w:tplc="0409000F" w:tentative="1">
      <w:start w:val="1"/>
      <w:numFmt w:val="decimal"/>
      <w:lvlText w:val="%4."/>
      <w:lvlJc w:val="left"/>
      <w:pPr>
        <w:tabs>
          <w:tab w:val="num" w:pos="1710"/>
        </w:tabs>
        <w:ind w:left="1710" w:hanging="360"/>
      </w:pPr>
    </w:lvl>
    <w:lvl w:ilvl="4" w:tplc="04090019" w:tentative="1">
      <w:start w:val="1"/>
      <w:numFmt w:val="lowerLetter"/>
      <w:lvlText w:val="%5."/>
      <w:lvlJc w:val="left"/>
      <w:pPr>
        <w:tabs>
          <w:tab w:val="num" w:pos="2430"/>
        </w:tabs>
        <w:ind w:left="2430" w:hanging="360"/>
      </w:pPr>
    </w:lvl>
    <w:lvl w:ilvl="5" w:tplc="0409001B" w:tentative="1">
      <w:start w:val="1"/>
      <w:numFmt w:val="lowerRoman"/>
      <w:lvlText w:val="%6."/>
      <w:lvlJc w:val="right"/>
      <w:pPr>
        <w:tabs>
          <w:tab w:val="num" w:pos="3150"/>
        </w:tabs>
        <w:ind w:left="3150" w:hanging="180"/>
      </w:pPr>
    </w:lvl>
    <w:lvl w:ilvl="6" w:tplc="0409000F" w:tentative="1">
      <w:start w:val="1"/>
      <w:numFmt w:val="decimal"/>
      <w:lvlText w:val="%7."/>
      <w:lvlJc w:val="left"/>
      <w:pPr>
        <w:tabs>
          <w:tab w:val="num" w:pos="3870"/>
        </w:tabs>
        <w:ind w:left="3870" w:hanging="360"/>
      </w:pPr>
    </w:lvl>
    <w:lvl w:ilvl="7" w:tplc="04090019" w:tentative="1">
      <w:start w:val="1"/>
      <w:numFmt w:val="lowerLetter"/>
      <w:lvlText w:val="%8."/>
      <w:lvlJc w:val="left"/>
      <w:pPr>
        <w:tabs>
          <w:tab w:val="num" w:pos="4590"/>
        </w:tabs>
        <w:ind w:left="4590" w:hanging="360"/>
      </w:pPr>
    </w:lvl>
    <w:lvl w:ilvl="8" w:tplc="0409001B" w:tentative="1">
      <w:start w:val="1"/>
      <w:numFmt w:val="lowerRoman"/>
      <w:lvlText w:val="%9."/>
      <w:lvlJc w:val="right"/>
      <w:pPr>
        <w:tabs>
          <w:tab w:val="num" w:pos="5310"/>
        </w:tabs>
        <w:ind w:left="5310" w:hanging="180"/>
      </w:pPr>
    </w:lvl>
  </w:abstractNum>
  <w:abstractNum w:abstractNumId="16" w15:restartNumberingAfterBreak="0">
    <w:nsid w:val="1DFA47F8"/>
    <w:multiLevelType w:val="hybridMultilevel"/>
    <w:tmpl w:val="7410F87A"/>
    <w:lvl w:ilvl="0" w:tplc="1F1CC314">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1EBA739A"/>
    <w:multiLevelType w:val="hybridMultilevel"/>
    <w:tmpl w:val="603684F4"/>
    <w:lvl w:ilvl="0" w:tplc="0409000F">
      <w:start w:val="1"/>
      <w:numFmt w:val="bullet"/>
      <w:lvlText w:val=""/>
      <w:lvlJc w:val="left"/>
      <w:pPr>
        <w:ind w:left="1080" w:hanging="360"/>
      </w:pPr>
      <w:rPr>
        <w:rFonts w:ascii="Symbol" w:hAnsi="Symbol" w:hint="default"/>
      </w:rPr>
    </w:lvl>
    <w:lvl w:ilvl="1" w:tplc="04090019">
      <w:start w:val="1"/>
      <w:numFmt w:val="bullet"/>
      <w:lvlText w:val="o"/>
      <w:lvlJc w:val="left"/>
      <w:pPr>
        <w:ind w:left="1800" w:hanging="360"/>
      </w:pPr>
      <w:rPr>
        <w:rFonts w:ascii="Courier New" w:hAnsi="Courier New" w:cs="Courier New" w:hint="default"/>
      </w:rPr>
    </w:lvl>
    <w:lvl w:ilvl="2" w:tplc="0409001B" w:tentative="1">
      <w:start w:val="1"/>
      <w:numFmt w:val="bullet"/>
      <w:lvlText w:val=""/>
      <w:lvlJc w:val="left"/>
      <w:pPr>
        <w:ind w:left="2520" w:hanging="360"/>
      </w:pPr>
      <w:rPr>
        <w:rFonts w:ascii="Wingdings" w:hAnsi="Wingdings" w:hint="default"/>
      </w:rPr>
    </w:lvl>
    <w:lvl w:ilvl="3" w:tplc="0409000F" w:tentative="1">
      <w:start w:val="1"/>
      <w:numFmt w:val="bullet"/>
      <w:lvlText w:val=""/>
      <w:lvlJc w:val="left"/>
      <w:pPr>
        <w:ind w:left="3240" w:hanging="360"/>
      </w:pPr>
      <w:rPr>
        <w:rFonts w:ascii="Symbol" w:hAnsi="Symbol" w:hint="default"/>
      </w:rPr>
    </w:lvl>
    <w:lvl w:ilvl="4" w:tplc="04090019" w:tentative="1">
      <w:start w:val="1"/>
      <w:numFmt w:val="bullet"/>
      <w:lvlText w:val="o"/>
      <w:lvlJc w:val="left"/>
      <w:pPr>
        <w:ind w:left="3960" w:hanging="360"/>
      </w:pPr>
      <w:rPr>
        <w:rFonts w:ascii="Courier New" w:hAnsi="Courier New" w:cs="Courier New" w:hint="default"/>
      </w:rPr>
    </w:lvl>
    <w:lvl w:ilvl="5" w:tplc="0409001B" w:tentative="1">
      <w:start w:val="1"/>
      <w:numFmt w:val="bullet"/>
      <w:lvlText w:val=""/>
      <w:lvlJc w:val="left"/>
      <w:pPr>
        <w:ind w:left="4680" w:hanging="360"/>
      </w:pPr>
      <w:rPr>
        <w:rFonts w:ascii="Wingdings" w:hAnsi="Wingdings" w:hint="default"/>
      </w:rPr>
    </w:lvl>
    <w:lvl w:ilvl="6" w:tplc="0409000F" w:tentative="1">
      <w:start w:val="1"/>
      <w:numFmt w:val="bullet"/>
      <w:lvlText w:val=""/>
      <w:lvlJc w:val="left"/>
      <w:pPr>
        <w:ind w:left="5400" w:hanging="360"/>
      </w:pPr>
      <w:rPr>
        <w:rFonts w:ascii="Symbol" w:hAnsi="Symbol" w:hint="default"/>
      </w:rPr>
    </w:lvl>
    <w:lvl w:ilvl="7" w:tplc="04090019" w:tentative="1">
      <w:start w:val="1"/>
      <w:numFmt w:val="bullet"/>
      <w:lvlText w:val="o"/>
      <w:lvlJc w:val="left"/>
      <w:pPr>
        <w:ind w:left="6120" w:hanging="360"/>
      </w:pPr>
      <w:rPr>
        <w:rFonts w:ascii="Courier New" w:hAnsi="Courier New" w:cs="Courier New" w:hint="default"/>
      </w:rPr>
    </w:lvl>
    <w:lvl w:ilvl="8" w:tplc="0409001B" w:tentative="1">
      <w:start w:val="1"/>
      <w:numFmt w:val="bullet"/>
      <w:lvlText w:val=""/>
      <w:lvlJc w:val="left"/>
      <w:pPr>
        <w:ind w:left="6840" w:hanging="360"/>
      </w:pPr>
      <w:rPr>
        <w:rFonts w:ascii="Wingdings" w:hAnsi="Wingdings" w:hint="default"/>
      </w:rPr>
    </w:lvl>
  </w:abstractNum>
  <w:abstractNum w:abstractNumId="18" w15:restartNumberingAfterBreak="0">
    <w:nsid w:val="234B1AB7"/>
    <w:multiLevelType w:val="hybridMultilevel"/>
    <w:tmpl w:val="E97E3A84"/>
    <w:lvl w:ilvl="0" w:tplc="26A4B63C">
      <w:start w:val="1"/>
      <w:numFmt w:val="bullet"/>
      <w:lvlText w:val=""/>
      <w:lvlJc w:val="left"/>
      <w:pPr>
        <w:tabs>
          <w:tab w:val="num" w:pos="1440"/>
        </w:tabs>
        <w:ind w:left="1440" w:hanging="720"/>
      </w:pPr>
      <w:rPr>
        <w:rFonts w:ascii="Symbol" w:hAnsi="Symbol" w:cs="Symbol" w:hint="default"/>
        <w:b/>
        <w:i w:val="0"/>
        <w:sz w:val="24"/>
      </w:rPr>
    </w:lvl>
    <w:lvl w:ilvl="1" w:tplc="04090019" w:tentative="1">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19" w15:restartNumberingAfterBreak="0">
    <w:nsid w:val="24174263"/>
    <w:multiLevelType w:val="hybridMultilevel"/>
    <w:tmpl w:val="41ACCC02"/>
    <w:lvl w:ilvl="0" w:tplc="04090001">
      <w:start w:val="1"/>
      <w:numFmt w:val="none"/>
      <w:pStyle w:val="TestimonyQ"/>
      <w:lvlText w:val="%1Q."/>
      <w:lvlJc w:val="left"/>
      <w:pPr>
        <w:tabs>
          <w:tab w:val="num" w:pos="720"/>
        </w:tabs>
        <w:ind w:left="720" w:hanging="720"/>
      </w:pPr>
      <w:rPr>
        <w:rFonts w:hint="default"/>
        <w:b/>
        <w:i w:val="0"/>
        <w:sz w:val="24"/>
      </w:rPr>
    </w:lvl>
    <w:lvl w:ilvl="1" w:tplc="04090003">
      <w:start w:val="1"/>
      <w:numFmt w:val="bullet"/>
      <w:lvlText w:val="o"/>
      <w:lvlJc w:val="left"/>
      <w:pPr>
        <w:tabs>
          <w:tab w:val="num" w:pos="-2700"/>
        </w:tabs>
        <w:ind w:left="-2700" w:hanging="360"/>
      </w:pPr>
      <w:rPr>
        <w:rFonts w:ascii="Courier New" w:hAnsi="Courier New" w:cs="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1260"/>
        </w:tabs>
        <w:ind w:left="-1260" w:hanging="360"/>
      </w:pPr>
      <w:rPr>
        <w:rFonts w:ascii="Symbol" w:hAnsi="Symbol" w:hint="default"/>
      </w:rPr>
    </w:lvl>
    <w:lvl w:ilvl="4" w:tplc="04090003" w:tentative="1">
      <w:start w:val="1"/>
      <w:numFmt w:val="bullet"/>
      <w:lvlText w:val="o"/>
      <w:lvlJc w:val="left"/>
      <w:pPr>
        <w:tabs>
          <w:tab w:val="num" w:pos="-540"/>
        </w:tabs>
        <w:ind w:left="-540" w:hanging="360"/>
      </w:pPr>
      <w:rPr>
        <w:rFonts w:ascii="Courier New" w:hAnsi="Courier New" w:cs="Courier New" w:hint="default"/>
      </w:rPr>
    </w:lvl>
    <w:lvl w:ilvl="5" w:tplc="04090005" w:tentative="1">
      <w:start w:val="1"/>
      <w:numFmt w:val="bullet"/>
      <w:lvlText w:val=""/>
      <w:lvlJc w:val="left"/>
      <w:pPr>
        <w:tabs>
          <w:tab w:val="num" w:pos="180"/>
        </w:tabs>
        <w:ind w:left="180" w:hanging="360"/>
      </w:pPr>
      <w:rPr>
        <w:rFonts w:ascii="Wingdings" w:hAnsi="Wingdings" w:hint="default"/>
      </w:rPr>
    </w:lvl>
    <w:lvl w:ilvl="6" w:tplc="04090001" w:tentative="1">
      <w:start w:val="1"/>
      <w:numFmt w:val="bullet"/>
      <w:lvlText w:val=""/>
      <w:lvlJc w:val="left"/>
      <w:pPr>
        <w:tabs>
          <w:tab w:val="num" w:pos="900"/>
        </w:tabs>
        <w:ind w:left="900" w:hanging="360"/>
      </w:pPr>
      <w:rPr>
        <w:rFonts w:ascii="Symbol" w:hAnsi="Symbol" w:hint="default"/>
      </w:rPr>
    </w:lvl>
    <w:lvl w:ilvl="7" w:tplc="04090003" w:tentative="1">
      <w:start w:val="1"/>
      <w:numFmt w:val="bullet"/>
      <w:lvlText w:val="o"/>
      <w:lvlJc w:val="left"/>
      <w:pPr>
        <w:tabs>
          <w:tab w:val="num" w:pos="1620"/>
        </w:tabs>
        <w:ind w:left="1620" w:hanging="360"/>
      </w:pPr>
      <w:rPr>
        <w:rFonts w:ascii="Courier New" w:hAnsi="Courier New" w:cs="Courier New" w:hint="default"/>
      </w:rPr>
    </w:lvl>
    <w:lvl w:ilvl="8" w:tplc="04090005" w:tentative="1">
      <w:start w:val="1"/>
      <w:numFmt w:val="bullet"/>
      <w:lvlText w:val=""/>
      <w:lvlJc w:val="left"/>
      <w:pPr>
        <w:tabs>
          <w:tab w:val="num" w:pos="2340"/>
        </w:tabs>
        <w:ind w:left="2340" w:hanging="360"/>
      </w:pPr>
      <w:rPr>
        <w:rFonts w:ascii="Wingdings" w:hAnsi="Wingdings" w:hint="default"/>
      </w:rPr>
    </w:lvl>
  </w:abstractNum>
  <w:abstractNum w:abstractNumId="20" w15:restartNumberingAfterBreak="0">
    <w:nsid w:val="24CF4614"/>
    <w:multiLevelType w:val="hybridMultilevel"/>
    <w:tmpl w:val="86AC0B9E"/>
    <w:lvl w:ilvl="0" w:tplc="0409000F">
      <w:start w:val="1"/>
      <w:numFmt w:val="decimal"/>
      <w:lvlText w:val="%1."/>
      <w:lvlJc w:val="left"/>
      <w:pPr>
        <w:tabs>
          <w:tab w:val="num" w:pos="720"/>
        </w:tabs>
        <w:ind w:left="720" w:hanging="720"/>
      </w:pPr>
      <w:rPr>
        <w:rFonts w:hint="default"/>
        <w:b/>
        <w:i w:val="0"/>
        <w:sz w:val="24"/>
      </w:rPr>
    </w:lvl>
    <w:lvl w:ilvl="1" w:tplc="04090019" w:tentative="1">
      <w:start w:val="1"/>
      <w:numFmt w:val="lowerLetter"/>
      <w:lvlText w:val="%2."/>
      <w:lvlJc w:val="left"/>
      <w:pPr>
        <w:tabs>
          <w:tab w:val="num" w:pos="270"/>
        </w:tabs>
        <w:ind w:left="270" w:hanging="360"/>
      </w:pPr>
    </w:lvl>
    <w:lvl w:ilvl="2" w:tplc="0409001B" w:tentative="1">
      <w:start w:val="1"/>
      <w:numFmt w:val="lowerRoman"/>
      <w:lvlText w:val="%3."/>
      <w:lvlJc w:val="right"/>
      <w:pPr>
        <w:tabs>
          <w:tab w:val="num" w:pos="990"/>
        </w:tabs>
        <w:ind w:left="990" w:hanging="180"/>
      </w:pPr>
    </w:lvl>
    <w:lvl w:ilvl="3" w:tplc="0409000F" w:tentative="1">
      <w:start w:val="1"/>
      <w:numFmt w:val="decimal"/>
      <w:lvlText w:val="%4."/>
      <w:lvlJc w:val="left"/>
      <w:pPr>
        <w:tabs>
          <w:tab w:val="num" w:pos="1710"/>
        </w:tabs>
        <w:ind w:left="1710" w:hanging="360"/>
      </w:pPr>
    </w:lvl>
    <w:lvl w:ilvl="4" w:tplc="04090019" w:tentative="1">
      <w:start w:val="1"/>
      <w:numFmt w:val="lowerLetter"/>
      <w:lvlText w:val="%5."/>
      <w:lvlJc w:val="left"/>
      <w:pPr>
        <w:tabs>
          <w:tab w:val="num" w:pos="2430"/>
        </w:tabs>
        <w:ind w:left="2430" w:hanging="360"/>
      </w:pPr>
    </w:lvl>
    <w:lvl w:ilvl="5" w:tplc="0409001B" w:tentative="1">
      <w:start w:val="1"/>
      <w:numFmt w:val="lowerRoman"/>
      <w:lvlText w:val="%6."/>
      <w:lvlJc w:val="right"/>
      <w:pPr>
        <w:tabs>
          <w:tab w:val="num" w:pos="3150"/>
        </w:tabs>
        <w:ind w:left="3150" w:hanging="180"/>
      </w:pPr>
    </w:lvl>
    <w:lvl w:ilvl="6" w:tplc="0409000F" w:tentative="1">
      <w:start w:val="1"/>
      <w:numFmt w:val="decimal"/>
      <w:lvlText w:val="%7."/>
      <w:lvlJc w:val="left"/>
      <w:pPr>
        <w:tabs>
          <w:tab w:val="num" w:pos="3870"/>
        </w:tabs>
        <w:ind w:left="3870" w:hanging="360"/>
      </w:pPr>
    </w:lvl>
    <w:lvl w:ilvl="7" w:tplc="04090019" w:tentative="1">
      <w:start w:val="1"/>
      <w:numFmt w:val="lowerLetter"/>
      <w:lvlText w:val="%8."/>
      <w:lvlJc w:val="left"/>
      <w:pPr>
        <w:tabs>
          <w:tab w:val="num" w:pos="4590"/>
        </w:tabs>
        <w:ind w:left="4590" w:hanging="360"/>
      </w:pPr>
    </w:lvl>
    <w:lvl w:ilvl="8" w:tplc="0409001B" w:tentative="1">
      <w:start w:val="1"/>
      <w:numFmt w:val="lowerRoman"/>
      <w:lvlText w:val="%9."/>
      <w:lvlJc w:val="right"/>
      <w:pPr>
        <w:tabs>
          <w:tab w:val="num" w:pos="5310"/>
        </w:tabs>
        <w:ind w:left="5310" w:hanging="180"/>
      </w:pPr>
    </w:lvl>
  </w:abstractNum>
  <w:abstractNum w:abstractNumId="21" w15:restartNumberingAfterBreak="0">
    <w:nsid w:val="26EC6783"/>
    <w:multiLevelType w:val="hybridMultilevel"/>
    <w:tmpl w:val="9048C43C"/>
    <w:lvl w:ilvl="0" w:tplc="E9CE04EC">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373242"/>
    <w:multiLevelType w:val="multilevel"/>
    <w:tmpl w:val="94E20894"/>
    <w:lvl w:ilvl="0">
      <w:start w:val="1"/>
      <w:numFmt w:val="none"/>
      <w:pStyle w:val="Heading2"/>
      <w:lvlText w:val="%1Q."/>
      <w:lvlJc w:val="left"/>
      <w:pPr>
        <w:tabs>
          <w:tab w:val="num" w:pos="720"/>
        </w:tabs>
        <w:ind w:left="720" w:hanging="720"/>
      </w:pPr>
      <w:rPr>
        <w:rFonts w:hint="default"/>
        <w:b/>
        <w:i w:val="0"/>
        <w:vanish w:val="0"/>
        <w:sz w:val="24"/>
        <w:u w:val="none"/>
      </w:rPr>
    </w:lvl>
    <w:lvl w:ilvl="1">
      <w:start w:val="1"/>
      <w:numFmt w:val="lowerLetter"/>
      <w:pStyle w:val="Heading2"/>
      <w:lvlText w:val="%2."/>
      <w:lvlJc w:val="left"/>
      <w:pPr>
        <w:tabs>
          <w:tab w:val="num" w:pos="1440"/>
        </w:tabs>
        <w:ind w:left="1440" w:hanging="720"/>
      </w:pPr>
      <w:rPr>
        <w:rFonts w:hint="default"/>
        <w:vanish w:val="0"/>
        <w:u w:val="none"/>
      </w:rPr>
    </w:lvl>
    <w:lvl w:ilvl="2">
      <w:start w:val="1"/>
      <w:numFmt w:val="lowerRoman"/>
      <w:lvlText w:val="%3."/>
      <w:lvlJc w:val="left"/>
      <w:pPr>
        <w:tabs>
          <w:tab w:val="num" w:pos="2160"/>
        </w:tabs>
        <w:ind w:left="2160" w:hanging="720"/>
      </w:pPr>
      <w:rPr>
        <w:rFonts w:hint="default"/>
        <w:vanish w:val="0"/>
        <w:u w:val="none"/>
      </w:rPr>
    </w:lvl>
    <w:lvl w:ilvl="3">
      <w:start w:val="1"/>
      <w:numFmt w:val="lowerLetter"/>
      <w:pStyle w:val="Heading4"/>
      <w:lvlText w:val="%4)"/>
      <w:lvlJc w:val="left"/>
      <w:pPr>
        <w:tabs>
          <w:tab w:val="num" w:pos="2880"/>
        </w:tabs>
        <w:ind w:left="2880" w:hanging="720"/>
      </w:pPr>
      <w:rPr>
        <w:rFonts w:hint="default"/>
        <w:vanish w:val="0"/>
        <w:u w:val="none"/>
      </w:rPr>
    </w:lvl>
    <w:lvl w:ilvl="4">
      <w:start w:val="1"/>
      <w:numFmt w:val="lowerRoman"/>
      <w:pStyle w:val="Heading5"/>
      <w:lvlText w:val="%5)"/>
      <w:lvlJc w:val="left"/>
      <w:pPr>
        <w:tabs>
          <w:tab w:val="num" w:pos="3600"/>
        </w:tabs>
        <w:ind w:left="3600" w:hanging="720"/>
      </w:pPr>
      <w:rPr>
        <w:rFonts w:hint="default"/>
        <w:vanish w:val="0"/>
        <w:u w:val="none"/>
      </w:rPr>
    </w:lvl>
    <w:lvl w:ilvl="5">
      <w:start w:val="1"/>
      <w:numFmt w:val="lowerLetter"/>
      <w:lvlRestart w:val="0"/>
      <w:pStyle w:val="Heading6"/>
      <w:lvlText w:val="(%6)"/>
      <w:lvlJc w:val="left"/>
      <w:pPr>
        <w:tabs>
          <w:tab w:val="num" w:pos="4320"/>
        </w:tabs>
        <w:ind w:left="4320" w:hanging="720"/>
      </w:pPr>
      <w:rPr>
        <w:rFonts w:hint="default"/>
        <w:vanish w:val="0"/>
        <w:u w:val="none"/>
      </w:rPr>
    </w:lvl>
    <w:lvl w:ilvl="6">
      <w:start w:val="1"/>
      <w:numFmt w:val="upperRoman"/>
      <w:pStyle w:val="Heading7"/>
      <w:lvlText w:val="%7."/>
      <w:lvlJc w:val="left"/>
      <w:pPr>
        <w:tabs>
          <w:tab w:val="num" w:pos="1440"/>
        </w:tabs>
        <w:ind w:left="1440" w:hanging="720"/>
      </w:pPr>
      <w:rPr>
        <w:rFonts w:hint="default"/>
        <w:vanish w:val="0"/>
        <w:u w:val="none"/>
      </w:rPr>
    </w:lvl>
    <w:lvl w:ilvl="7">
      <w:start w:val="1"/>
      <w:numFmt w:val="upperLetter"/>
      <w:pStyle w:val="Heading8"/>
      <w:lvlText w:val="%8."/>
      <w:lvlJc w:val="left"/>
      <w:pPr>
        <w:tabs>
          <w:tab w:val="num" w:pos="2160"/>
        </w:tabs>
        <w:ind w:left="2160" w:hanging="720"/>
      </w:pPr>
      <w:rPr>
        <w:rFonts w:hint="default"/>
        <w:vanish w:val="0"/>
        <w:u w:val="none"/>
      </w:rPr>
    </w:lvl>
    <w:lvl w:ilvl="8">
      <w:start w:val="1"/>
      <w:numFmt w:val="decimal"/>
      <w:pStyle w:val="Heading9"/>
      <w:lvlText w:val="%9."/>
      <w:lvlJc w:val="left"/>
      <w:pPr>
        <w:tabs>
          <w:tab w:val="num" w:pos="2880"/>
        </w:tabs>
        <w:ind w:left="2880" w:hanging="720"/>
      </w:pPr>
      <w:rPr>
        <w:rFonts w:hint="default"/>
        <w:vanish w:val="0"/>
        <w:u w:val="none"/>
      </w:rPr>
    </w:lvl>
  </w:abstractNum>
  <w:abstractNum w:abstractNumId="23" w15:restartNumberingAfterBreak="0">
    <w:nsid w:val="2A5D67CB"/>
    <w:multiLevelType w:val="hybridMultilevel"/>
    <w:tmpl w:val="DAB01F54"/>
    <w:lvl w:ilvl="0" w:tplc="C84A406E">
      <w:start w:val="1"/>
      <w:numFmt w:val="upperLetter"/>
      <w:lvlText w:val="%1."/>
      <w:lvlJc w:val="left"/>
      <w:pPr>
        <w:ind w:left="720" w:hanging="360"/>
      </w:pPr>
      <w:rPr>
        <w:rFonts w:hint="default"/>
      </w:rPr>
    </w:lvl>
    <w:lvl w:ilvl="1" w:tplc="061EF440" w:tentative="1">
      <w:start w:val="1"/>
      <w:numFmt w:val="lowerLetter"/>
      <w:lvlText w:val="%2."/>
      <w:lvlJc w:val="left"/>
      <w:pPr>
        <w:ind w:left="1440" w:hanging="360"/>
      </w:pPr>
    </w:lvl>
    <w:lvl w:ilvl="2" w:tplc="CEECCA82" w:tentative="1">
      <w:start w:val="1"/>
      <w:numFmt w:val="lowerRoman"/>
      <w:lvlText w:val="%3."/>
      <w:lvlJc w:val="right"/>
      <w:pPr>
        <w:ind w:left="2160" w:hanging="180"/>
      </w:pPr>
    </w:lvl>
    <w:lvl w:ilvl="3" w:tplc="92789E66" w:tentative="1">
      <w:start w:val="1"/>
      <w:numFmt w:val="decimal"/>
      <w:lvlText w:val="%4."/>
      <w:lvlJc w:val="left"/>
      <w:pPr>
        <w:ind w:left="2880" w:hanging="360"/>
      </w:pPr>
    </w:lvl>
    <w:lvl w:ilvl="4" w:tplc="3EE2F016" w:tentative="1">
      <w:start w:val="1"/>
      <w:numFmt w:val="lowerLetter"/>
      <w:lvlText w:val="%5."/>
      <w:lvlJc w:val="left"/>
      <w:pPr>
        <w:ind w:left="3600" w:hanging="360"/>
      </w:pPr>
    </w:lvl>
    <w:lvl w:ilvl="5" w:tplc="FEC69CBC" w:tentative="1">
      <w:start w:val="1"/>
      <w:numFmt w:val="lowerRoman"/>
      <w:lvlText w:val="%6."/>
      <w:lvlJc w:val="right"/>
      <w:pPr>
        <w:ind w:left="4320" w:hanging="180"/>
      </w:pPr>
    </w:lvl>
    <w:lvl w:ilvl="6" w:tplc="7F184ACE" w:tentative="1">
      <w:start w:val="1"/>
      <w:numFmt w:val="decimal"/>
      <w:lvlText w:val="%7."/>
      <w:lvlJc w:val="left"/>
      <w:pPr>
        <w:ind w:left="5040" w:hanging="360"/>
      </w:pPr>
    </w:lvl>
    <w:lvl w:ilvl="7" w:tplc="272AD7CC" w:tentative="1">
      <w:start w:val="1"/>
      <w:numFmt w:val="lowerLetter"/>
      <w:lvlText w:val="%8."/>
      <w:lvlJc w:val="left"/>
      <w:pPr>
        <w:ind w:left="5760" w:hanging="360"/>
      </w:pPr>
    </w:lvl>
    <w:lvl w:ilvl="8" w:tplc="4836AA06" w:tentative="1">
      <w:start w:val="1"/>
      <w:numFmt w:val="lowerRoman"/>
      <w:lvlText w:val="%9."/>
      <w:lvlJc w:val="right"/>
      <w:pPr>
        <w:ind w:left="6480" w:hanging="180"/>
      </w:pPr>
    </w:lvl>
  </w:abstractNum>
  <w:abstractNum w:abstractNumId="24" w15:restartNumberingAfterBreak="0">
    <w:nsid w:val="2E675EA8"/>
    <w:multiLevelType w:val="hybridMultilevel"/>
    <w:tmpl w:val="48B25214"/>
    <w:lvl w:ilvl="0" w:tplc="04090001">
      <w:start w:val="1"/>
      <w:numFmt w:val="bullet"/>
      <w:lvlText w:val=""/>
      <w:lvlJc w:val="left"/>
      <w:pPr>
        <w:ind w:left="1080" w:hanging="360"/>
      </w:pPr>
      <w:rPr>
        <w:rFonts w:ascii="Symbol" w:hAnsi="Symbol" w:cs="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0735B14"/>
    <w:multiLevelType w:val="hybridMultilevel"/>
    <w:tmpl w:val="2240546C"/>
    <w:lvl w:ilvl="0" w:tplc="9A9CFF0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59F46ED"/>
    <w:multiLevelType w:val="hybridMultilevel"/>
    <w:tmpl w:val="8BB415DC"/>
    <w:lvl w:ilvl="0" w:tplc="04090001">
      <w:start w:val="1"/>
      <w:numFmt w:val="bullet"/>
      <w:lvlText w:val=""/>
      <w:lvlJc w:val="left"/>
      <w:pPr>
        <w:ind w:left="1440" w:hanging="360"/>
      </w:pPr>
      <w:rPr>
        <w:rFonts w:ascii="Symbol" w:hAnsi="Symbol" w:cs="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3F1A060A"/>
    <w:multiLevelType w:val="hybridMultilevel"/>
    <w:tmpl w:val="16507350"/>
    <w:lvl w:ilvl="0" w:tplc="A7B66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8D5760"/>
    <w:multiLevelType w:val="hybridMultilevel"/>
    <w:tmpl w:val="2DC2C86E"/>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45C42B2"/>
    <w:multiLevelType w:val="hybridMultilevel"/>
    <w:tmpl w:val="B020275A"/>
    <w:lvl w:ilvl="0" w:tplc="04090015">
      <w:start w:val="1"/>
      <w:numFmt w:val="bullet"/>
      <w:lvlText w:val=""/>
      <w:lvlJc w:val="left"/>
      <w:pPr>
        <w:ind w:left="2160" w:hanging="360"/>
      </w:pPr>
      <w:rPr>
        <w:rFonts w:ascii="Symbol" w:hAnsi="Symbol" w:hint="default"/>
      </w:rPr>
    </w:lvl>
    <w:lvl w:ilvl="1" w:tplc="04090019" w:tentative="1">
      <w:start w:val="1"/>
      <w:numFmt w:val="bullet"/>
      <w:lvlText w:val="o"/>
      <w:lvlJc w:val="left"/>
      <w:pPr>
        <w:ind w:left="2880" w:hanging="360"/>
      </w:pPr>
      <w:rPr>
        <w:rFonts w:ascii="Courier New" w:hAnsi="Courier New" w:cs="Courier New" w:hint="default"/>
      </w:rPr>
    </w:lvl>
    <w:lvl w:ilvl="2" w:tplc="0409001B" w:tentative="1">
      <w:start w:val="1"/>
      <w:numFmt w:val="bullet"/>
      <w:lvlText w:val=""/>
      <w:lvlJc w:val="left"/>
      <w:pPr>
        <w:ind w:left="3600" w:hanging="360"/>
      </w:pPr>
      <w:rPr>
        <w:rFonts w:ascii="Wingdings" w:hAnsi="Wingdings" w:hint="default"/>
      </w:rPr>
    </w:lvl>
    <w:lvl w:ilvl="3" w:tplc="0409000F" w:tentative="1">
      <w:start w:val="1"/>
      <w:numFmt w:val="bullet"/>
      <w:lvlText w:val=""/>
      <w:lvlJc w:val="left"/>
      <w:pPr>
        <w:ind w:left="4320" w:hanging="360"/>
      </w:pPr>
      <w:rPr>
        <w:rFonts w:ascii="Symbol" w:hAnsi="Symbol" w:hint="default"/>
      </w:rPr>
    </w:lvl>
    <w:lvl w:ilvl="4" w:tplc="04090019" w:tentative="1">
      <w:start w:val="1"/>
      <w:numFmt w:val="bullet"/>
      <w:lvlText w:val="o"/>
      <w:lvlJc w:val="left"/>
      <w:pPr>
        <w:ind w:left="5040" w:hanging="360"/>
      </w:pPr>
      <w:rPr>
        <w:rFonts w:ascii="Courier New" w:hAnsi="Courier New" w:cs="Courier New" w:hint="default"/>
      </w:rPr>
    </w:lvl>
    <w:lvl w:ilvl="5" w:tplc="0409001B" w:tentative="1">
      <w:start w:val="1"/>
      <w:numFmt w:val="bullet"/>
      <w:lvlText w:val=""/>
      <w:lvlJc w:val="left"/>
      <w:pPr>
        <w:ind w:left="5760" w:hanging="360"/>
      </w:pPr>
      <w:rPr>
        <w:rFonts w:ascii="Wingdings" w:hAnsi="Wingdings" w:hint="default"/>
      </w:rPr>
    </w:lvl>
    <w:lvl w:ilvl="6" w:tplc="0409000F" w:tentative="1">
      <w:start w:val="1"/>
      <w:numFmt w:val="bullet"/>
      <w:lvlText w:val=""/>
      <w:lvlJc w:val="left"/>
      <w:pPr>
        <w:ind w:left="6480" w:hanging="360"/>
      </w:pPr>
      <w:rPr>
        <w:rFonts w:ascii="Symbol" w:hAnsi="Symbol" w:hint="default"/>
      </w:rPr>
    </w:lvl>
    <w:lvl w:ilvl="7" w:tplc="04090019" w:tentative="1">
      <w:start w:val="1"/>
      <w:numFmt w:val="bullet"/>
      <w:lvlText w:val="o"/>
      <w:lvlJc w:val="left"/>
      <w:pPr>
        <w:ind w:left="7200" w:hanging="360"/>
      </w:pPr>
      <w:rPr>
        <w:rFonts w:ascii="Courier New" w:hAnsi="Courier New" w:cs="Courier New" w:hint="default"/>
      </w:rPr>
    </w:lvl>
    <w:lvl w:ilvl="8" w:tplc="0409001B" w:tentative="1">
      <w:start w:val="1"/>
      <w:numFmt w:val="bullet"/>
      <w:lvlText w:val=""/>
      <w:lvlJc w:val="left"/>
      <w:pPr>
        <w:ind w:left="7920" w:hanging="360"/>
      </w:pPr>
      <w:rPr>
        <w:rFonts w:ascii="Wingdings" w:hAnsi="Wingdings" w:hint="default"/>
      </w:rPr>
    </w:lvl>
  </w:abstractNum>
  <w:abstractNum w:abstractNumId="30" w15:restartNumberingAfterBreak="0">
    <w:nsid w:val="49837079"/>
    <w:multiLevelType w:val="hybridMultilevel"/>
    <w:tmpl w:val="7410F87A"/>
    <w:lvl w:ilvl="0" w:tplc="04090001">
      <w:start w:val="1"/>
      <w:numFmt w:val="decimal"/>
      <w:lvlText w:val="%1."/>
      <w:lvlJc w:val="left"/>
      <w:pPr>
        <w:ind w:left="1440" w:hanging="360"/>
      </w:pPr>
    </w:lvl>
    <w:lvl w:ilvl="1" w:tplc="04090003" w:tentative="1">
      <w:start w:val="1"/>
      <w:numFmt w:val="lowerLetter"/>
      <w:lvlText w:val="%2."/>
      <w:lvlJc w:val="left"/>
      <w:pPr>
        <w:ind w:left="2160" w:hanging="360"/>
      </w:pPr>
    </w:lvl>
    <w:lvl w:ilvl="2" w:tplc="04090005" w:tentative="1">
      <w:start w:val="1"/>
      <w:numFmt w:val="lowerRoman"/>
      <w:lvlText w:val="%3."/>
      <w:lvlJc w:val="right"/>
      <w:pPr>
        <w:ind w:left="2880" w:hanging="180"/>
      </w:pPr>
    </w:lvl>
    <w:lvl w:ilvl="3" w:tplc="04090001" w:tentative="1">
      <w:start w:val="1"/>
      <w:numFmt w:val="decimal"/>
      <w:lvlText w:val="%4."/>
      <w:lvlJc w:val="left"/>
      <w:pPr>
        <w:ind w:left="3600" w:hanging="360"/>
      </w:pPr>
    </w:lvl>
    <w:lvl w:ilvl="4" w:tplc="04090003" w:tentative="1">
      <w:start w:val="1"/>
      <w:numFmt w:val="lowerLetter"/>
      <w:lvlText w:val="%5."/>
      <w:lvlJc w:val="left"/>
      <w:pPr>
        <w:ind w:left="4320" w:hanging="360"/>
      </w:pPr>
    </w:lvl>
    <w:lvl w:ilvl="5" w:tplc="04090005" w:tentative="1">
      <w:start w:val="1"/>
      <w:numFmt w:val="lowerRoman"/>
      <w:lvlText w:val="%6."/>
      <w:lvlJc w:val="right"/>
      <w:pPr>
        <w:ind w:left="5040" w:hanging="180"/>
      </w:pPr>
    </w:lvl>
    <w:lvl w:ilvl="6" w:tplc="04090001" w:tentative="1">
      <w:start w:val="1"/>
      <w:numFmt w:val="decimal"/>
      <w:lvlText w:val="%7."/>
      <w:lvlJc w:val="left"/>
      <w:pPr>
        <w:ind w:left="5760" w:hanging="360"/>
      </w:pPr>
    </w:lvl>
    <w:lvl w:ilvl="7" w:tplc="04090003" w:tentative="1">
      <w:start w:val="1"/>
      <w:numFmt w:val="lowerLetter"/>
      <w:lvlText w:val="%8."/>
      <w:lvlJc w:val="left"/>
      <w:pPr>
        <w:ind w:left="6480" w:hanging="360"/>
      </w:pPr>
    </w:lvl>
    <w:lvl w:ilvl="8" w:tplc="04090005" w:tentative="1">
      <w:start w:val="1"/>
      <w:numFmt w:val="lowerRoman"/>
      <w:lvlText w:val="%9."/>
      <w:lvlJc w:val="right"/>
      <w:pPr>
        <w:ind w:left="7200" w:hanging="180"/>
      </w:pPr>
    </w:lvl>
  </w:abstractNum>
  <w:abstractNum w:abstractNumId="31" w15:restartNumberingAfterBreak="0">
    <w:nsid w:val="4C116897"/>
    <w:multiLevelType w:val="hybridMultilevel"/>
    <w:tmpl w:val="FA509910"/>
    <w:lvl w:ilvl="0" w:tplc="0409000F">
      <w:start w:val="1"/>
      <w:numFmt w:val="decimal"/>
      <w:lvlText w:val="%1."/>
      <w:lvlJc w:val="left"/>
      <w:pPr>
        <w:ind w:left="900" w:hanging="360"/>
      </w:pPr>
      <w:rPr>
        <w:rFonts w:ascii="Times New Roman" w:eastAsiaTheme="minorHAnsi" w:hAnsi="Times New Roman" w:cs="Times New Roman"/>
        <w:b w:val="0"/>
        <w:i w:val="0"/>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52A436A6"/>
    <w:multiLevelType w:val="hybridMultilevel"/>
    <w:tmpl w:val="16507350"/>
    <w:lvl w:ilvl="0" w:tplc="A7B6609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9"/>
  </w:num>
  <w:num w:numId="3">
    <w:abstractNumId w:val="8"/>
  </w:num>
  <w:num w:numId="4">
    <w:abstractNumId w:val="19"/>
  </w:num>
  <w:num w:numId="5">
    <w:abstractNumId w:val="15"/>
  </w:num>
  <w:num w:numId="6">
    <w:abstractNumId w:val="12"/>
  </w:num>
  <w:num w:numId="7">
    <w:abstractNumId w:val="11"/>
  </w:num>
  <w:num w:numId="8">
    <w:abstractNumId w:val="23"/>
  </w:num>
  <w:num w:numId="9">
    <w:abstractNumId w:val="29"/>
  </w:num>
  <w:num w:numId="10">
    <w:abstractNumId w:val="17"/>
  </w:num>
  <w:num w:numId="11">
    <w:abstractNumId w:val="10"/>
  </w:num>
  <w:num w:numId="12">
    <w:abstractNumId w:val="31"/>
  </w:num>
  <w:num w:numId="13">
    <w:abstractNumId w:val="21"/>
  </w:num>
  <w:num w:numId="14">
    <w:abstractNumId w:val="16"/>
  </w:num>
  <w:num w:numId="15">
    <w:abstractNumId w:val="30"/>
  </w:num>
  <w:num w:numId="16">
    <w:abstractNumId w:val="7"/>
  </w:num>
  <w:num w:numId="17">
    <w:abstractNumId w:val="6"/>
  </w:num>
  <w:num w:numId="18">
    <w:abstractNumId w:val="5"/>
  </w:num>
  <w:num w:numId="19">
    <w:abstractNumId w:val="4"/>
  </w:num>
  <w:num w:numId="20">
    <w:abstractNumId w:val="3"/>
  </w:num>
  <w:num w:numId="21">
    <w:abstractNumId w:val="2"/>
  </w:num>
  <w:num w:numId="22">
    <w:abstractNumId w:val="1"/>
  </w:num>
  <w:num w:numId="23">
    <w:abstractNumId w:val="0"/>
  </w:num>
  <w:num w:numId="24">
    <w:abstractNumId w:val="15"/>
  </w:num>
  <w:num w:numId="25">
    <w:abstractNumId w:val="15"/>
  </w:num>
  <w:num w:numId="26">
    <w:abstractNumId w:val="15"/>
  </w:num>
  <w:num w:numId="27">
    <w:abstractNumId w:val="15"/>
  </w:num>
  <w:num w:numId="28">
    <w:abstractNumId w:val="15"/>
  </w:num>
  <w:num w:numId="29">
    <w:abstractNumId w:val="15"/>
  </w:num>
  <w:num w:numId="30">
    <w:abstractNumId w:val="19"/>
  </w:num>
  <w:num w:numId="31">
    <w:abstractNumId w:val="15"/>
    <w:lvlOverride w:ilvl="0">
      <w:startOverride w:val="17"/>
    </w:lvlOverride>
  </w:num>
  <w:num w:numId="32">
    <w:abstractNumId w:val="15"/>
    <w:lvlOverride w:ilvl="0">
      <w:startOverride w:val="17"/>
    </w:lvlOverride>
  </w:num>
  <w:num w:numId="33">
    <w:abstractNumId w:val="15"/>
    <w:lvlOverride w:ilvl="0">
      <w:startOverride w:val="17"/>
    </w:lvlOverride>
  </w:num>
  <w:num w:numId="34">
    <w:abstractNumId w:val="15"/>
    <w:lvlOverride w:ilvl="0">
      <w:startOverride w:val="17"/>
    </w:lvlOverride>
  </w:num>
  <w:num w:numId="35">
    <w:abstractNumId w:val="15"/>
  </w:num>
  <w:num w:numId="36">
    <w:abstractNumId w:val="28"/>
  </w:num>
  <w:num w:numId="37">
    <w:abstractNumId w:val="27"/>
  </w:num>
  <w:num w:numId="38">
    <w:abstractNumId w:val="32"/>
  </w:num>
  <w:num w:numId="39">
    <w:abstractNumId w:val="25"/>
  </w:num>
  <w:num w:numId="40">
    <w:abstractNumId w:val="20"/>
  </w:num>
  <w:num w:numId="41">
    <w:abstractNumId w:val="18"/>
  </w:num>
  <w:num w:numId="42">
    <w:abstractNumId w:val="14"/>
  </w:num>
  <w:num w:numId="43">
    <w:abstractNumId w:val="26"/>
  </w:num>
  <w:num w:numId="44">
    <w:abstractNumId w:val="13"/>
  </w:num>
  <w:num w:numId="45">
    <w:abstractNumId w:val="19"/>
  </w:num>
  <w:num w:numId="46">
    <w:abstractNumId w:val="2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isplayHorizontalDrawingGridEvery w:val="2"/>
  <w:noPunctuationKerning/>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zzmp10NoTrailerPromptID" w:val="https://omm-my.sharepoint.com/personal/kballi_omm_com/Documents/Desktop/D. 52195 Direct Testimony and Exhibits of Kevin Higgins on behalf of TIEC.docx"/>
  </w:docVars>
  <w:rsids>
    <w:rsidRoot w:val="001006D1"/>
    <w:rsid w:val="00012655"/>
    <w:rsid w:val="00016D45"/>
    <w:rsid w:val="00021D45"/>
    <w:rsid w:val="00022434"/>
    <w:rsid w:val="00052D50"/>
    <w:rsid w:val="0005320A"/>
    <w:rsid w:val="00064411"/>
    <w:rsid w:val="00065562"/>
    <w:rsid w:val="00074B87"/>
    <w:rsid w:val="00096076"/>
    <w:rsid w:val="000A53E6"/>
    <w:rsid w:val="000A5BBA"/>
    <w:rsid w:val="000C0237"/>
    <w:rsid w:val="000D1F5F"/>
    <w:rsid w:val="000D44B8"/>
    <w:rsid w:val="000D45D3"/>
    <w:rsid w:val="000F26D3"/>
    <w:rsid w:val="001006D1"/>
    <w:rsid w:val="00101329"/>
    <w:rsid w:val="001078EE"/>
    <w:rsid w:val="001156AF"/>
    <w:rsid w:val="0013558C"/>
    <w:rsid w:val="0014175B"/>
    <w:rsid w:val="0015292D"/>
    <w:rsid w:val="001542AF"/>
    <w:rsid w:val="001620AD"/>
    <w:rsid w:val="001738F0"/>
    <w:rsid w:val="00175F9C"/>
    <w:rsid w:val="00196A1F"/>
    <w:rsid w:val="001972A6"/>
    <w:rsid w:val="001A0FEC"/>
    <w:rsid w:val="001A7778"/>
    <w:rsid w:val="001B75B4"/>
    <w:rsid w:val="001C55C6"/>
    <w:rsid w:val="001C68D9"/>
    <w:rsid w:val="001D6ED2"/>
    <w:rsid w:val="001E239B"/>
    <w:rsid w:val="001E3FDC"/>
    <w:rsid w:val="001F639B"/>
    <w:rsid w:val="001F7611"/>
    <w:rsid w:val="002124B8"/>
    <w:rsid w:val="002152C4"/>
    <w:rsid w:val="0022108A"/>
    <w:rsid w:val="00227BA4"/>
    <w:rsid w:val="002346BD"/>
    <w:rsid w:val="00247460"/>
    <w:rsid w:val="00247754"/>
    <w:rsid w:val="00255DE9"/>
    <w:rsid w:val="00271058"/>
    <w:rsid w:val="002932EE"/>
    <w:rsid w:val="00295FCD"/>
    <w:rsid w:val="002A0054"/>
    <w:rsid w:val="002A2CD7"/>
    <w:rsid w:val="002A3A9F"/>
    <w:rsid w:val="002A4381"/>
    <w:rsid w:val="002B304D"/>
    <w:rsid w:val="002B344A"/>
    <w:rsid w:val="002D6FBE"/>
    <w:rsid w:val="002F14C4"/>
    <w:rsid w:val="002F34FB"/>
    <w:rsid w:val="00313CE2"/>
    <w:rsid w:val="00317545"/>
    <w:rsid w:val="00322E34"/>
    <w:rsid w:val="00333BA9"/>
    <w:rsid w:val="003372C6"/>
    <w:rsid w:val="0035042D"/>
    <w:rsid w:val="00352AC8"/>
    <w:rsid w:val="00357C9E"/>
    <w:rsid w:val="00361187"/>
    <w:rsid w:val="00361534"/>
    <w:rsid w:val="00361707"/>
    <w:rsid w:val="00376DE9"/>
    <w:rsid w:val="00377933"/>
    <w:rsid w:val="003812D8"/>
    <w:rsid w:val="0038362E"/>
    <w:rsid w:val="00385160"/>
    <w:rsid w:val="003878DB"/>
    <w:rsid w:val="003B294E"/>
    <w:rsid w:val="003C4471"/>
    <w:rsid w:val="003D7E70"/>
    <w:rsid w:val="003F5608"/>
    <w:rsid w:val="003F7EC3"/>
    <w:rsid w:val="0040244D"/>
    <w:rsid w:val="00406B79"/>
    <w:rsid w:val="00412734"/>
    <w:rsid w:val="00416926"/>
    <w:rsid w:val="004220DA"/>
    <w:rsid w:val="00422B8A"/>
    <w:rsid w:val="0042530A"/>
    <w:rsid w:val="00430CBF"/>
    <w:rsid w:val="004444AE"/>
    <w:rsid w:val="00457340"/>
    <w:rsid w:val="00460AD1"/>
    <w:rsid w:val="00466757"/>
    <w:rsid w:val="004721C6"/>
    <w:rsid w:val="0049105C"/>
    <w:rsid w:val="00497E0C"/>
    <w:rsid w:val="004A5CBB"/>
    <w:rsid w:val="004B0807"/>
    <w:rsid w:val="004B16BD"/>
    <w:rsid w:val="004C6460"/>
    <w:rsid w:val="004E2F52"/>
    <w:rsid w:val="0050649B"/>
    <w:rsid w:val="005121DC"/>
    <w:rsid w:val="00514C39"/>
    <w:rsid w:val="0051550B"/>
    <w:rsid w:val="00523FF5"/>
    <w:rsid w:val="005262F7"/>
    <w:rsid w:val="0053396E"/>
    <w:rsid w:val="005416C2"/>
    <w:rsid w:val="00541C15"/>
    <w:rsid w:val="00550C1A"/>
    <w:rsid w:val="00556E7D"/>
    <w:rsid w:val="00581B72"/>
    <w:rsid w:val="0058777E"/>
    <w:rsid w:val="005A5136"/>
    <w:rsid w:val="005B4773"/>
    <w:rsid w:val="005C4FDD"/>
    <w:rsid w:val="005D0BAC"/>
    <w:rsid w:val="005E56A5"/>
    <w:rsid w:val="005F2D4A"/>
    <w:rsid w:val="005F3BB2"/>
    <w:rsid w:val="00600483"/>
    <w:rsid w:val="006034D4"/>
    <w:rsid w:val="00603532"/>
    <w:rsid w:val="006174D0"/>
    <w:rsid w:val="00622E42"/>
    <w:rsid w:val="00624F5F"/>
    <w:rsid w:val="00657289"/>
    <w:rsid w:val="00681EA1"/>
    <w:rsid w:val="006A19B0"/>
    <w:rsid w:val="006A6CB7"/>
    <w:rsid w:val="006A7EEE"/>
    <w:rsid w:val="006B3142"/>
    <w:rsid w:val="006B71F8"/>
    <w:rsid w:val="006B7234"/>
    <w:rsid w:val="006C437D"/>
    <w:rsid w:val="006D3D80"/>
    <w:rsid w:val="006E5CC5"/>
    <w:rsid w:val="006E753D"/>
    <w:rsid w:val="006E77C7"/>
    <w:rsid w:val="006F109B"/>
    <w:rsid w:val="006F2107"/>
    <w:rsid w:val="006F70AF"/>
    <w:rsid w:val="00702B93"/>
    <w:rsid w:val="007148BE"/>
    <w:rsid w:val="00715BA2"/>
    <w:rsid w:val="00724764"/>
    <w:rsid w:val="00730E8B"/>
    <w:rsid w:val="0073488B"/>
    <w:rsid w:val="007352B8"/>
    <w:rsid w:val="00741FCB"/>
    <w:rsid w:val="00751401"/>
    <w:rsid w:val="00751B2D"/>
    <w:rsid w:val="00770A40"/>
    <w:rsid w:val="00777846"/>
    <w:rsid w:val="0078036E"/>
    <w:rsid w:val="00781FB7"/>
    <w:rsid w:val="00784176"/>
    <w:rsid w:val="00790B2A"/>
    <w:rsid w:val="00794D41"/>
    <w:rsid w:val="007A3236"/>
    <w:rsid w:val="007A736D"/>
    <w:rsid w:val="007B3453"/>
    <w:rsid w:val="007E43CA"/>
    <w:rsid w:val="007E4A93"/>
    <w:rsid w:val="007E5734"/>
    <w:rsid w:val="007F0F85"/>
    <w:rsid w:val="007F156F"/>
    <w:rsid w:val="00805E56"/>
    <w:rsid w:val="00806820"/>
    <w:rsid w:val="00830066"/>
    <w:rsid w:val="0083008B"/>
    <w:rsid w:val="008437B5"/>
    <w:rsid w:val="008649FA"/>
    <w:rsid w:val="0087182B"/>
    <w:rsid w:val="00872DD3"/>
    <w:rsid w:val="0087394A"/>
    <w:rsid w:val="00895707"/>
    <w:rsid w:val="00895713"/>
    <w:rsid w:val="008A13FA"/>
    <w:rsid w:val="008A3572"/>
    <w:rsid w:val="008A4139"/>
    <w:rsid w:val="008A50B5"/>
    <w:rsid w:val="008A5198"/>
    <w:rsid w:val="008A76A9"/>
    <w:rsid w:val="008C2F98"/>
    <w:rsid w:val="008C52A1"/>
    <w:rsid w:val="008D4E8D"/>
    <w:rsid w:val="008D54AD"/>
    <w:rsid w:val="008E082D"/>
    <w:rsid w:val="008E2D4E"/>
    <w:rsid w:val="008E4C48"/>
    <w:rsid w:val="008F05A4"/>
    <w:rsid w:val="008F11FB"/>
    <w:rsid w:val="008F2843"/>
    <w:rsid w:val="0090789E"/>
    <w:rsid w:val="0095602F"/>
    <w:rsid w:val="00963AC0"/>
    <w:rsid w:val="00967EFA"/>
    <w:rsid w:val="00970D32"/>
    <w:rsid w:val="00971DDE"/>
    <w:rsid w:val="00972C3B"/>
    <w:rsid w:val="00986D3C"/>
    <w:rsid w:val="009B30DA"/>
    <w:rsid w:val="009B531A"/>
    <w:rsid w:val="009B7D4E"/>
    <w:rsid w:val="009C5CC6"/>
    <w:rsid w:val="009D1575"/>
    <w:rsid w:val="009D7205"/>
    <w:rsid w:val="009F6AC1"/>
    <w:rsid w:val="00A0594E"/>
    <w:rsid w:val="00A05FA2"/>
    <w:rsid w:val="00A07067"/>
    <w:rsid w:val="00A110D1"/>
    <w:rsid w:val="00A2602C"/>
    <w:rsid w:val="00A56BEB"/>
    <w:rsid w:val="00A67105"/>
    <w:rsid w:val="00A70698"/>
    <w:rsid w:val="00A837FD"/>
    <w:rsid w:val="00A871AE"/>
    <w:rsid w:val="00A9228B"/>
    <w:rsid w:val="00A94528"/>
    <w:rsid w:val="00A94F93"/>
    <w:rsid w:val="00A95F66"/>
    <w:rsid w:val="00A96BFF"/>
    <w:rsid w:val="00AC04FD"/>
    <w:rsid w:val="00AD137B"/>
    <w:rsid w:val="00AD7522"/>
    <w:rsid w:val="00B124C9"/>
    <w:rsid w:val="00B261DA"/>
    <w:rsid w:val="00B31908"/>
    <w:rsid w:val="00B42E15"/>
    <w:rsid w:val="00B63EDF"/>
    <w:rsid w:val="00B9286B"/>
    <w:rsid w:val="00B93F99"/>
    <w:rsid w:val="00B96A6D"/>
    <w:rsid w:val="00B96F77"/>
    <w:rsid w:val="00BA569D"/>
    <w:rsid w:val="00BB2DB2"/>
    <w:rsid w:val="00BB377B"/>
    <w:rsid w:val="00BB6BA5"/>
    <w:rsid w:val="00BB70B6"/>
    <w:rsid w:val="00BC1392"/>
    <w:rsid w:val="00BD48EE"/>
    <w:rsid w:val="00BE153D"/>
    <w:rsid w:val="00BE6083"/>
    <w:rsid w:val="00C13115"/>
    <w:rsid w:val="00C257FE"/>
    <w:rsid w:val="00C2747B"/>
    <w:rsid w:val="00C5047B"/>
    <w:rsid w:val="00C666EC"/>
    <w:rsid w:val="00C67351"/>
    <w:rsid w:val="00C75FD8"/>
    <w:rsid w:val="00C8136F"/>
    <w:rsid w:val="00C82A29"/>
    <w:rsid w:val="00C832FC"/>
    <w:rsid w:val="00C920B7"/>
    <w:rsid w:val="00C97907"/>
    <w:rsid w:val="00C97BFC"/>
    <w:rsid w:val="00C97D05"/>
    <w:rsid w:val="00CA04F9"/>
    <w:rsid w:val="00CB0D57"/>
    <w:rsid w:val="00CC4188"/>
    <w:rsid w:val="00CD6A9D"/>
    <w:rsid w:val="00CD7F46"/>
    <w:rsid w:val="00CE5357"/>
    <w:rsid w:val="00D00AC7"/>
    <w:rsid w:val="00D1125F"/>
    <w:rsid w:val="00D157E4"/>
    <w:rsid w:val="00D340B6"/>
    <w:rsid w:val="00D53569"/>
    <w:rsid w:val="00D621A2"/>
    <w:rsid w:val="00D63029"/>
    <w:rsid w:val="00D66EFC"/>
    <w:rsid w:val="00D84F1A"/>
    <w:rsid w:val="00D86A7B"/>
    <w:rsid w:val="00D91C07"/>
    <w:rsid w:val="00DA22E8"/>
    <w:rsid w:val="00DA765D"/>
    <w:rsid w:val="00DB0B89"/>
    <w:rsid w:val="00DD594A"/>
    <w:rsid w:val="00DE446C"/>
    <w:rsid w:val="00DE5123"/>
    <w:rsid w:val="00DE532B"/>
    <w:rsid w:val="00DE60C5"/>
    <w:rsid w:val="00DF2638"/>
    <w:rsid w:val="00E11A2B"/>
    <w:rsid w:val="00E11BE6"/>
    <w:rsid w:val="00E12B6E"/>
    <w:rsid w:val="00E17867"/>
    <w:rsid w:val="00E220F4"/>
    <w:rsid w:val="00E2605A"/>
    <w:rsid w:val="00E40C59"/>
    <w:rsid w:val="00E658F4"/>
    <w:rsid w:val="00E70DF3"/>
    <w:rsid w:val="00E75113"/>
    <w:rsid w:val="00EA3836"/>
    <w:rsid w:val="00EA6D6A"/>
    <w:rsid w:val="00EC4299"/>
    <w:rsid w:val="00EC6CB0"/>
    <w:rsid w:val="00ED093C"/>
    <w:rsid w:val="00ED4A8C"/>
    <w:rsid w:val="00EE0CE5"/>
    <w:rsid w:val="00EF3C61"/>
    <w:rsid w:val="00F1383A"/>
    <w:rsid w:val="00F40DEC"/>
    <w:rsid w:val="00F52E36"/>
    <w:rsid w:val="00F53169"/>
    <w:rsid w:val="00F614FA"/>
    <w:rsid w:val="00F62B80"/>
    <w:rsid w:val="00F77B1F"/>
    <w:rsid w:val="00F812CE"/>
    <w:rsid w:val="00F829CC"/>
    <w:rsid w:val="00F86482"/>
    <w:rsid w:val="00FB49D8"/>
    <w:rsid w:val="00FB602E"/>
    <w:rsid w:val="00FC43F3"/>
    <w:rsid w:val="00FC6296"/>
    <w:rsid w:val="00FD1485"/>
    <w:rsid w:val="00FD4532"/>
    <w:rsid w:val="00FE11A1"/>
    <w:rsid w:val="00FF1FB9"/>
    <w:rsid w:val="00FF6E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57E08ED"/>
  <w15:docId w15:val="{9BE60EE8-1253-4EF2-AD1E-8D5449A5EF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06D1"/>
    <w:rPr>
      <w:sz w:val="24"/>
      <w:szCs w:val="24"/>
    </w:rPr>
  </w:style>
  <w:style w:type="paragraph" w:styleId="Heading1">
    <w:name w:val="heading 1"/>
    <w:basedOn w:val="ListParagraph"/>
    <w:next w:val="Heading2"/>
    <w:qFormat/>
    <w:rsid w:val="007F0F85"/>
    <w:pPr>
      <w:numPr>
        <w:numId w:val="7"/>
      </w:numPr>
      <w:spacing w:line="480" w:lineRule="auto"/>
      <w:contextualSpacing w:val="0"/>
      <w:outlineLvl w:val="0"/>
    </w:pPr>
    <w:rPr>
      <w:b/>
      <w:u w:val="single"/>
    </w:rPr>
  </w:style>
  <w:style w:type="paragraph" w:styleId="Heading2">
    <w:name w:val="heading 2"/>
    <w:aliases w:val="QUESTION"/>
    <w:basedOn w:val="Normal"/>
    <w:next w:val="BodyText"/>
    <w:qFormat/>
    <w:rsid w:val="002A4381"/>
    <w:pPr>
      <w:numPr>
        <w:numId w:val="1"/>
      </w:numPr>
      <w:spacing w:after="240" w:line="360" w:lineRule="auto"/>
      <w:jc w:val="both"/>
      <w:outlineLvl w:val="1"/>
    </w:pPr>
    <w:rPr>
      <w:b/>
      <w:szCs w:val="20"/>
    </w:rPr>
  </w:style>
  <w:style w:type="paragraph" w:styleId="Heading3">
    <w:name w:val="heading 3"/>
    <w:basedOn w:val="Heading1"/>
    <w:qFormat/>
    <w:rsid w:val="00BB70B6"/>
    <w:pPr>
      <w:numPr>
        <w:numId w:val="0"/>
      </w:numPr>
      <w:ind w:left="720"/>
      <w:outlineLvl w:val="2"/>
    </w:pPr>
  </w:style>
  <w:style w:type="paragraph" w:styleId="Heading4">
    <w:name w:val="heading 4"/>
    <w:basedOn w:val="Normal"/>
    <w:next w:val="BodyText"/>
    <w:qFormat/>
    <w:rsid w:val="001006D1"/>
    <w:pPr>
      <w:numPr>
        <w:ilvl w:val="3"/>
        <w:numId w:val="1"/>
      </w:numPr>
      <w:spacing w:after="240"/>
      <w:jc w:val="both"/>
      <w:outlineLvl w:val="3"/>
    </w:pPr>
    <w:rPr>
      <w:szCs w:val="20"/>
    </w:rPr>
  </w:style>
  <w:style w:type="paragraph" w:styleId="Heading5">
    <w:name w:val="heading 5"/>
    <w:basedOn w:val="Normal"/>
    <w:next w:val="BodyText"/>
    <w:qFormat/>
    <w:rsid w:val="001006D1"/>
    <w:pPr>
      <w:numPr>
        <w:ilvl w:val="4"/>
        <w:numId w:val="1"/>
      </w:numPr>
      <w:spacing w:after="240"/>
      <w:jc w:val="both"/>
      <w:outlineLvl w:val="4"/>
    </w:pPr>
    <w:rPr>
      <w:szCs w:val="20"/>
    </w:rPr>
  </w:style>
  <w:style w:type="paragraph" w:styleId="Heading6">
    <w:name w:val="heading 6"/>
    <w:basedOn w:val="Normal"/>
    <w:next w:val="BodyText"/>
    <w:qFormat/>
    <w:rsid w:val="001006D1"/>
    <w:pPr>
      <w:numPr>
        <w:ilvl w:val="5"/>
        <w:numId w:val="1"/>
      </w:numPr>
      <w:spacing w:after="240"/>
      <w:jc w:val="both"/>
      <w:outlineLvl w:val="5"/>
    </w:pPr>
    <w:rPr>
      <w:szCs w:val="20"/>
    </w:rPr>
  </w:style>
  <w:style w:type="paragraph" w:styleId="Heading7">
    <w:name w:val="heading 7"/>
    <w:basedOn w:val="Normal"/>
    <w:next w:val="BodyText"/>
    <w:qFormat/>
    <w:rsid w:val="001006D1"/>
    <w:pPr>
      <w:numPr>
        <w:ilvl w:val="6"/>
        <w:numId w:val="1"/>
      </w:numPr>
      <w:spacing w:after="240"/>
      <w:jc w:val="both"/>
      <w:outlineLvl w:val="6"/>
    </w:pPr>
    <w:rPr>
      <w:szCs w:val="20"/>
    </w:rPr>
  </w:style>
  <w:style w:type="paragraph" w:styleId="Heading8">
    <w:name w:val="heading 8"/>
    <w:basedOn w:val="Normal"/>
    <w:next w:val="BodyText"/>
    <w:qFormat/>
    <w:rsid w:val="001006D1"/>
    <w:pPr>
      <w:numPr>
        <w:ilvl w:val="7"/>
        <w:numId w:val="1"/>
      </w:numPr>
      <w:spacing w:after="240"/>
      <w:jc w:val="both"/>
      <w:outlineLvl w:val="7"/>
    </w:pPr>
    <w:rPr>
      <w:szCs w:val="20"/>
    </w:rPr>
  </w:style>
  <w:style w:type="paragraph" w:styleId="Heading9">
    <w:name w:val="heading 9"/>
    <w:basedOn w:val="Normal"/>
    <w:next w:val="BodyText"/>
    <w:qFormat/>
    <w:rsid w:val="001006D1"/>
    <w:pPr>
      <w:numPr>
        <w:ilvl w:val="8"/>
        <w:numId w:val="1"/>
      </w:numPr>
      <w:spacing w:after="240"/>
      <w:jc w:val="both"/>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autoRedefine/>
    <w:qFormat/>
    <w:rsid w:val="007A3236"/>
    <w:pPr>
      <w:tabs>
        <w:tab w:val="left" w:pos="-3240"/>
      </w:tabs>
      <w:spacing w:after="240" w:line="360" w:lineRule="auto"/>
      <w:ind w:left="720"/>
      <w:jc w:val="both"/>
    </w:pPr>
  </w:style>
  <w:style w:type="paragraph" w:customStyle="1" w:styleId="ANSWER">
    <w:name w:val="ANSWER"/>
    <w:next w:val="BodyText"/>
    <w:qFormat/>
    <w:rsid w:val="00016D45"/>
    <w:pPr>
      <w:numPr>
        <w:numId w:val="5"/>
      </w:numPr>
      <w:spacing w:after="240" w:line="360" w:lineRule="auto"/>
      <w:ind w:left="720"/>
      <w:jc w:val="both"/>
    </w:pPr>
    <w:rPr>
      <w:sz w:val="24"/>
      <w:szCs w:val="24"/>
    </w:rPr>
  </w:style>
  <w:style w:type="paragraph" w:customStyle="1" w:styleId="BT15">
    <w:name w:val="BT 1.5"/>
    <w:rsid w:val="001006D1"/>
    <w:pPr>
      <w:spacing w:after="240" w:line="360" w:lineRule="auto"/>
      <w:ind w:left="720"/>
    </w:pPr>
    <w:rPr>
      <w:sz w:val="24"/>
      <w:szCs w:val="24"/>
    </w:rPr>
  </w:style>
  <w:style w:type="paragraph" w:styleId="TOC1">
    <w:name w:val="toc 1"/>
    <w:basedOn w:val="Normal"/>
    <w:next w:val="Normal"/>
    <w:uiPriority w:val="39"/>
    <w:rsid w:val="001006D1"/>
    <w:pPr>
      <w:tabs>
        <w:tab w:val="left" w:pos="720"/>
        <w:tab w:val="right" w:pos="9360"/>
      </w:tabs>
      <w:spacing w:before="120" w:after="120"/>
    </w:pPr>
  </w:style>
  <w:style w:type="paragraph" w:styleId="TOC2">
    <w:name w:val="toc 2"/>
    <w:basedOn w:val="Normal"/>
    <w:next w:val="Normal"/>
    <w:uiPriority w:val="39"/>
    <w:rsid w:val="001006D1"/>
    <w:pPr>
      <w:ind w:left="240"/>
    </w:pPr>
  </w:style>
  <w:style w:type="paragraph" w:styleId="TOC3">
    <w:name w:val="toc 3"/>
    <w:basedOn w:val="Normal"/>
    <w:next w:val="Normal"/>
    <w:uiPriority w:val="39"/>
    <w:rsid w:val="001006D1"/>
    <w:pPr>
      <w:ind w:left="480"/>
    </w:pPr>
  </w:style>
  <w:style w:type="paragraph" w:styleId="Header">
    <w:name w:val="header"/>
    <w:basedOn w:val="Normal"/>
    <w:rsid w:val="001006D1"/>
    <w:pPr>
      <w:tabs>
        <w:tab w:val="center" w:pos="4680"/>
        <w:tab w:val="right" w:pos="9360"/>
      </w:tabs>
    </w:pPr>
  </w:style>
  <w:style w:type="paragraph" w:styleId="Footer">
    <w:name w:val="footer"/>
    <w:basedOn w:val="Normal"/>
    <w:link w:val="FooterChar"/>
    <w:uiPriority w:val="99"/>
    <w:rsid w:val="001006D1"/>
    <w:pPr>
      <w:tabs>
        <w:tab w:val="center" w:pos="4680"/>
        <w:tab w:val="right" w:pos="9360"/>
      </w:tabs>
      <w:jc w:val="center"/>
    </w:pPr>
  </w:style>
  <w:style w:type="character" w:styleId="PageNumber">
    <w:name w:val="page number"/>
    <w:rsid w:val="001006D1"/>
    <w:rPr>
      <w:sz w:val="20"/>
    </w:rPr>
  </w:style>
  <w:style w:type="paragraph" w:customStyle="1" w:styleId="BodyText1SS">
    <w:name w:val="Body Text 1&quot; SS"/>
    <w:basedOn w:val="Normal"/>
    <w:rsid w:val="001006D1"/>
    <w:pPr>
      <w:spacing w:after="240"/>
      <w:ind w:firstLine="1440"/>
      <w:jc w:val="both"/>
    </w:pPr>
  </w:style>
  <w:style w:type="character" w:customStyle="1" w:styleId="Bold">
    <w:name w:val="Bold"/>
    <w:rsid w:val="001006D1"/>
    <w:rPr>
      <w:b/>
    </w:rPr>
  </w:style>
  <w:style w:type="character" w:customStyle="1" w:styleId="BoldItalic">
    <w:name w:val="Bold Italic"/>
    <w:rsid w:val="001006D1"/>
    <w:rPr>
      <w:b/>
      <w:i/>
    </w:rPr>
  </w:style>
  <w:style w:type="character" w:customStyle="1" w:styleId="BoldItalicUnderline">
    <w:name w:val="Bold Italic Underline"/>
    <w:rsid w:val="001006D1"/>
    <w:rPr>
      <w:b/>
      <w:i/>
      <w:u w:val="single"/>
    </w:rPr>
  </w:style>
  <w:style w:type="character" w:customStyle="1" w:styleId="BoldUnderline">
    <w:name w:val="Bold Underline"/>
    <w:rsid w:val="001006D1"/>
    <w:rPr>
      <w:b/>
      <w:u w:val="single"/>
    </w:rPr>
  </w:style>
  <w:style w:type="character" w:customStyle="1" w:styleId="DblUnderline">
    <w:name w:val="Dbl Underline"/>
    <w:rsid w:val="001006D1"/>
    <w:rPr>
      <w:u w:val="double"/>
    </w:rPr>
  </w:style>
  <w:style w:type="character" w:customStyle="1" w:styleId="Italic">
    <w:name w:val="Italic"/>
    <w:rsid w:val="001006D1"/>
    <w:rPr>
      <w:i/>
    </w:rPr>
  </w:style>
  <w:style w:type="paragraph" w:customStyle="1" w:styleId="TableText">
    <w:name w:val="Table Text"/>
    <w:basedOn w:val="Normal"/>
    <w:rsid w:val="001006D1"/>
  </w:style>
  <w:style w:type="paragraph" w:styleId="Title">
    <w:name w:val="Title"/>
    <w:basedOn w:val="Normal"/>
    <w:next w:val="Normal"/>
    <w:qFormat/>
    <w:rsid w:val="001006D1"/>
    <w:pPr>
      <w:keepNext/>
      <w:spacing w:after="240"/>
      <w:jc w:val="center"/>
    </w:pPr>
    <w:rPr>
      <w:rFonts w:cs="Arial"/>
      <w:b/>
      <w:bCs/>
      <w:szCs w:val="32"/>
    </w:rPr>
  </w:style>
  <w:style w:type="character" w:customStyle="1" w:styleId="Underline">
    <w:name w:val="Underline"/>
    <w:rsid w:val="001006D1"/>
    <w:rPr>
      <w:u w:val="single"/>
    </w:rPr>
  </w:style>
  <w:style w:type="paragraph" w:customStyle="1" w:styleId="DocID">
    <w:name w:val="DocID"/>
    <w:basedOn w:val="Footer"/>
    <w:next w:val="Footer"/>
    <w:link w:val="DocIDChar"/>
    <w:rsid w:val="001006D1"/>
    <w:pPr>
      <w:tabs>
        <w:tab w:val="clear" w:pos="4680"/>
        <w:tab w:val="clear" w:pos="9360"/>
      </w:tabs>
      <w:jc w:val="left"/>
    </w:pPr>
    <w:rPr>
      <w:sz w:val="16"/>
    </w:rPr>
  </w:style>
  <w:style w:type="paragraph" w:styleId="TOC4">
    <w:name w:val="toc 4"/>
    <w:basedOn w:val="Normal"/>
    <w:next w:val="Normal"/>
    <w:semiHidden/>
    <w:rsid w:val="001006D1"/>
    <w:pPr>
      <w:ind w:left="720"/>
    </w:pPr>
  </w:style>
  <w:style w:type="paragraph" w:styleId="TOC5">
    <w:name w:val="toc 5"/>
    <w:basedOn w:val="Normal"/>
    <w:next w:val="Normal"/>
    <w:semiHidden/>
    <w:rsid w:val="001006D1"/>
    <w:pPr>
      <w:ind w:left="960"/>
    </w:pPr>
  </w:style>
  <w:style w:type="paragraph" w:styleId="TOC6">
    <w:name w:val="toc 6"/>
    <w:basedOn w:val="Normal"/>
    <w:next w:val="Normal"/>
    <w:semiHidden/>
    <w:rsid w:val="001006D1"/>
    <w:pPr>
      <w:ind w:left="1200"/>
    </w:pPr>
  </w:style>
  <w:style w:type="paragraph" w:styleId="TOC7">
    <w:name w:val="toc 7"/>
    <w:basedOn w:val="Normal"/>
    <w:next w:val="Normal"/>
    <w:semiHidden/>
    <w:rsid w:val="001006D1"/>
    <w:pPr>
      <w:ind w:left="1440"/>
    </w:pPr>
  </w:style>
  <w:style w:type="paragraph" w:styleId="TOC8">
    <w:name w:val="toc 8"/>
    <w:basedOn w:val="Normal"/>
    <w:next w:val="Normal"/>
    <w:semiHidden/>
    <w:rsid w:val="001006D1"/>
    <w:pPr>
      <w:ind w:left="1680"/>
    </w:pPr>
  </w:style>
  <w:style w:type="paragraph" w:styleId="TOC9">
    <w:name w:val="toc 9"/>
    <w:basedOn w:val="Normal"/>
    <w:next w:val="Normal"/>
    <w:semiHidden/>
    <w:rsid w:val="001006D1"/>
    <w:pPr>
      <w:ind w:left="1920"/>
    </w:pPr>
  </w:style>
  <w:style w:type="paragraph" w:customStyle="1" w:styleId="DocIDPara">
    <w:name w:val="DocIDPara"/>
    <w:rsid w:val="001006D1"/>
  </w:style>
  <w:style w:type="paragraph" w:customStyle="1" w:styleId="Title2">
    <w:name w:val="Title2"/>
    <w:next w:val="Normal"/>
    <w:rsid w:val="001006D1"/>
    <w:pPr>
      <w:spacing w:after="240"/>
      <w:jc w:val="center"/>
    </w:pPr>
    <w:rPr>
      <w:b/>
      <w:bCs/>
      <w:sz w:val="24"/>
      <w:szCs w:val="24"/>
      <w:u w:val="single"/>
    </w:rPr>
  </w:style>
  <w:style w:type="paragraph" w:customStyle="1" w:styleId="TestimonyQ">
    <w:name w:val="Testimony Q"/>
    <w:next w:val="ANSWER"/>
    <w:qFormat/>
    <w:rsid w:val="002A4381"/>
    <w:pPr>
      <w:keepLines/>
      <w:widowControl w:val="0"/>
      <w:numPr>
        <w:numId w:val="4"/>
      </w:numPr>
      <w:tabs>
        <w:tab w:val="left" w:pos="-1440"/>
      </w:tabs>
      <w:spacing w:line="360" w:lineRule="auto"/>
      <w:jc w:val="both"/>
    </w:pPr>
    <w:rPr>
      <w:rFonts w:eastAsia="Calibri"/>
      <w:b/>
      <w:caps/>
      <w:sz w:val="24"/>
    </w:rPr>
  </w:style>
  <w:style w:type="character" w:styleId="LineNumber">
    <w:name w:val="line number"/>
    <w:basedOn w:val="DefaultParagraphFont"/>
    <w:rsid w:val="001006D1"/>
  </w:style>
  <w:style w:type="paragraph" w:styleId="ListBullet">
    <w:name w:val="List Bullet"/>
    <w:basedOn w:val="Normal"/>
    <w:rsid w:val="001006D1"/>
    <w:pPr>
      <w:numPr>
        <w:numId w:val="2"/>
      </w:numPr>
      <w:spacing w:after="240"/>
    </w:pPr>
  </w:style>
  <w:style w:type="paragraph" w:customStyle="1" w:styleId="BodyText05SS">
    <w:name w:val="Body Text 0.5&quot; SS"/>
    <w:basedOn w:val="Normal"/>
    <w:rsid w:val="001006D1"/>
    <w:pPr>
      <w:spacing w:after="240"/>
      <w:ind w:firstLine="720"/>
      <w:jc w:val="both"/>
    </w:pPr>
  </w:style>
  <w:style w:type="paragraph" w:styleId="ListNumber">
    <w:name w:val="List Number"/>
    <w:basedOn w:val="Normal"/>
    <w:rsid w:val="001006D1"/>
    <w:pPr>
      <w:numPr>
        <w:numId w:val="3"/>
      </w:numPr>
      <w:spacing w:after="240"/>
      <w:jc w:val="both"/>
    </w:pPr>
  </w:style>
  <w:style w:type="table" w:styleId="TableGrid">
    <w:name w:val="Table Grid"/>
    <w:basedOn w:val="TableNormal"/>
    <w:rsid w:val="001006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1006D1"/>
    <w:rPr>
      <w:color w:val="0000FF"/>
      <w:u w:val="single"/>
    </w:rPr>
  </w:style>
  <w:style w:type="paragraph" w:styleId="FootnoteText">
    <w:name w:val="footnote text"/>
    <w:aliases w:val="Footnote Text Char1 Char,Footnote Text Char Char Char,Footnote Text Char1 Char Char Char,Footnote Text Char Char Char Char Char,Footnote Text Char Char1 Char,Footnote Text Char1 Char1 Char,Footnote Text Char2,Footnote Text Char Char"/>
    <w:basedOn w:val="Normal"/>
    <w:link w:val="FootnoteTextChar"/>
    <w:autoRedefine/>
    <w:uiPriority w:val="99"/>
    <w:qFormat/>
    <w:rsid w:val="00523FF5"/>
    <w:pPr>
      <w:spacing w:before="120" w:after="120"/>
      <w:ind w:firstLine="720"/>
    </w:pPr>
    <w:rPr>
      <w:sz w:val="20"/>
      <w:szCs w:val="20"/>
    </w:r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uiPriority w:val="99"/>
    <w:qFormat/>
    <w:rsid w:val="001006D1"/>
    <w:rPr>
      <w:vertAlign w:val="superscript"/>
    </w:rPr>
  </w:style>
  <w:style w:type="paragraph" w:customStyle="1" w:styleId="TestimonyA">
    <w:name w:val="Testimony A"/>
    <w:basedOn w:val="TestimonyQ"/>
    <w:rsid w:val="001006D1"/>
  </w:style>
  <w:style w:type="paragraph" w:styleId="BlockText">
    <w:name w:val="Block Text"/>
    <w:basedOn w:val="Normal"/>
    <w:rsid w:val="001006D1"/>
    <w:pPr>
      <w:spacing w:after="120"/>
      <w:ind w:left="1440" w:right="1440"/>
    </w:pPr>
  </w:style>
  <w:style w:type="character" w:customStyle="1" w:styleId="DocIDChar">
    <w:name w:val="DocID Char"/>
    <w:link w:val="DocID"/>
    <w:rsid w:val="001006D1"/>
    <w:rPr>
      <w:sz w:val="16"/>
      <w:szCs w:val="24"/>
    </w:rPr>
  </w:style>
  <w:style w:type="paragraph" w:styleId="BalloonText">
    <w:name w:val="Balloon Text"/>
    <w:basedOn w:val="Normal"/>
    <w:link w:val="BalloonTextChar"/>
    <w:rsid w:val="001006D1"/>
    <w:rPr>
      <w:rFonts w:ascii="Tahoma" w:hAnsi="Tahoma" w:cs="Tahoma"/>
      <w:sz w:val="16"/>
      <w:szCs w:val="16"/>
    </w:rPr>
  </w:style>
  <w:style w:type="character" w:customStyle="1" w:styleId="BalloonTextChar">
    <w:name w:val="Balloon Text Char"/>
    <w:link w:val="BalloonText"/>
    <w:rsid w:val="001006D1"/>
    <w:rPr>
      <w:rFonts w:ascii="Tahoma" w:hAnsi="Tahoma" w:cs="Tahoma"/>
      <w:sz w:val="16"/>
      <w:szCs w:val="16"/>
    </w:rPr>
  </w:style>
  <w:style w:type="paragraph" w:styleId="BodyTextIndent">
    <w:name w:val="Body Text Indent"/>
    <w:basedOn w:val="Normal"/>
    <w:link w:val="BodyTextIndentChar"/>
    <w:rsid w:val="001006D1"/>
    <w:pPr>
      <w:spacing w:after="240"/>
      <w:ind w:left="360"/>
    </w:pPr>
  </w:style>
  <w:style w:type="character" w:customStyle="1" w:styleId="BodyTextChar">
    <w:name w:val="Body Text Char"/>
    <w:link w:val="BodyText"/>
    <w:rsid w:val="007A3236"/>
    <w:rPr>
      <w:sz w:val="24"/>
      <w:szCs w:val="24"/>
    </w:rPr>
  </w:style>
  <w:style w:type="character" w:customStyle="1" w:styleId="BodyTextIndentChar">
    <w:name w:val="Body Text Indent Char"/>
    <w:basedOn w:val="DefaultParagraphFont"/>
    <w:link w:val="BodyTextIndent"/>
    <w:rsid w:val="001006D1"/>
    <w:rPr>
      <w:sz w:val="24"/>
      <w:szCs w:val="24"/>
    </w:rPr>
  </w:style>
  <w:style w:type="paragraph" w:styleId="BodyTextIndent3">
    <w:name w:val="Body Text Indent 3"/>
    <w:basedOn w:val="Normal"/>
    <w:link w:val="BodyTextIndent3Char"/>
    <w:rsid w:val="001006D1"/>
    <w:pPr>
      <w:spacing w:after="120"/>
      <w:ind w:left="360"/>
    </w:pPr>
    <w:rPr>
      <w:sz w:val="16"/>
      <w:szCs w:val="16"/>
    </w:rPr>
  </w:style>
  <w:style w:type="character" w:customStyle="1" w:styleId="BodyTextIndent3Char">
    <w:name w:val="Body Text Indent 3 Char"/>
    <w:basedOn w:val="DefaultParagraphFont"/>
    <w:link w:val="BodyTextIndent3"/>
    <w:rsid w:val="001006D1"/>
    <w:rPr>
      <w:sz w:val="16"/>
      <w:szCs w:val="16"/>
    </w:rPr>
  </w:style>
  <w:style w:type="paragraph" w:styleId="ListParagraph">
    <w:name w:val="List Paragraph"/>
    <w:basedOn w:val="Normal"/>
    <w:uiPriority w:val="34"/>
    <w:qFormat/>
    <w:rsid w:val="001006D1"/>
    <w:pPr>
      <w:ind w:left="720"/>
      <w:contextualSpacing/>
    </w:pPr>
  </w:style>
  <w:style w:type="character" w:styleId="CommentReference">
    <w:name w:val="annotation reference"/>
    <w:basedOn w:val="DefaultParagraphFont"/>
    <w:rsid w:val="001006D1"/>
    <w:rPr>
      <w:sz w:val="16"/>
      <w:szCs w:val="16"/>
    </w:rPr>
  </w:style>
  <w:style w:type="paragraph" w:styleId="CommentText">
    <w:name w:val="annotation text"/>
    <w:basedOn w:val="Normal"/>
    <w:link w:val="CommentTextChar"/>
    <w:rsid w:val="001006D1"/>
    <w:rPr>
      <w:sz w:val="20"/>
      <w:szCs w:val="20"/>
    </w:rPr>
  </w:style>
  <w:style w:type="character" w:customStyle="1" w:styleId="CommentTextChar">
    <w:name w:val="Comment Text Char"/>
    <w:basedOn w:val="DefaultParagraphFont"/>
    <w:link w:val="CommentText"/>
    <w:rsid w:val="001006D1"/>
  </w:style>
  <w:style w:type="paragraph" w:styleId="CommentSubject">
    <w:name w:val="annotation subject"/>
    <w:basedOn w:val="CommentText"/>
    <w:next w:val="CommentText"/>
    <w:link w:val="CommentSubjectChar"/>
    <w:rsid w:val="001006D1"/>
    <w:rPr>
      <w:b/>
      <w:bCs/>
    </w:rPr>
  </w:style>
  <w:style w:type="character" w:customStyle="1" w:styleId="CommentSubjectChar">
    <w:name w:val="Comment Subject Char"/>
    <w:basedOn w:val="CommentTextChar"/>
    <w:link w:val="CommentSubject"/>
    <w:rsid w:val="001006D1"/>
    <w:rPr>
      <w:b/>
      <w:bCs/>
    </w:rPr>
  </w:style>
  <w:style w:type="character" w:customStyle="1" w:styleId="FooterChar">
    <w:name w:val="Footer Char"/>
    <w:basedOn w:val="DefaultParagraphFont"/>
    <w:link w:val="Footer"/>
    <w:uiPriority w:val="99"/>
    <w:rsid w:val="001006D1"/>
    <w:rPr>
      <w:sz w:val="24"/>
      <w:szCs w:val="24"/>
    </w:rPr>
  </w:style>
  <w:style w:type="character" w:customStyle="1" w:styleId="FootnoteTextChar">
    <w:name w:val="Footnote Text Char"/>
    <w:aliases w:val="Footnote Text Char1 Char Char,Footnote Text Char Char Char Char,Footnote Text Char1 Char Char Char Char,Footnote Text Char Char Char Char Char Char,Footnote Text Char Char1 Char Char,Footnote Text Char1 Char1 Char Char"/>
    <w:basedOn w:val="DefaultParagraphFont"/>
    <w:link w:val="FootnoteText"/>
    <w:uiPriority w:val="99"/>
    <w:rsid w:val="00523FF5"/>
  </w:style>
  <w:style w:type="paragraph" w:styleId="PlainText">
    <w:name w:val="Plain Text"/>
    <w:basedOn w:val="Normal"/>
    <w:link w:val="PlainTextChar"/>
    <w:rsid w:val="001006D1"/>
    <w:rPr>
      <w:rFonts w:ascii="Consolas" w:hAnsi="Consolas" w:cs="Consolas"/>
      <w:sz w:val="21"/>
      <w:szCs w:val="21"/>
    </w:rPr>
  </w:style>
  <w:style w:type="character" w:customStyle="1" w:styleId="PlainTextChar">
    <w:name w:val="Plain Text Char"/>
    <w:basedOn w:val="DefaultParagraphFont"/>
    <w:link w:val="PlainText"/>
    <w:rsid w:val="001006D1"/>
    <w:rPr>
      <w:rFonts w:ascii="Consolas" w:hAnsi="Consolas" w:cs="Consolas"/>
      <w:sz w:val="21"/>
      <w:szCs w:val="21"/>
    </w:rPr>
  </w:style>
  <w:style w:type="paragraph" w:styleId="Revision">
    <w:name w:val="Revision"/>
    <w:hidden/>
    <w:uiPriority w:val="99"/>
    <w:semiHidden/>
    <w:rsid w:val="001006D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6328790">
      <w:bodyDiv w:val="1"/>
      <w:marLeft w:val="0"/>
      <w:marRight w:val="0"/>
      <w:marTop w:val="0"/>
      <w:marBottom w:val="0"/>
      <w:divBdr>
        <w:top w:val="none" w:sz="0" w:space="0" w:color="auto"/>
        <w:left w:val="none" w:sz="0" w:space="0" w:color="auto"/>
        <w:bottom w:val="none" w:sz="0" w:space="0" w:color="auto"/>
        <w:right w:val="none" w:sz="0" w:space="0" w:color="auto"/>
      </w:divBdr>
    </w:div>
    <w:div w:id="382216042">
      <w:bodyDiv w:val="1"/>
      <w:marLeft w:val="0"/>
      <w:marRight w:val="0"/>
      <w:marTop w:val="0"/>
      <w:marBottom w:val="0"/>
      <w:divBdr>
        <w:top w:val="none" w:sz="0" w:space="0" w:color="auto"/>
        <w:left w:val="none" w:sz="0" w:space="0" w:color="auto"/>
        <w:bottom w:val="none" w:sz="0" w:space="0" w:color="auto"/>
        <w:right w:val="none" w:sz="0" w:space="0" w:color="auto"/>
      </w:divBdr>
    </w:div>
    <w:div w:id="476383683">
      <w:bodyDiv w:val="1"/>
      <w:marLeft w:val="0"/>
      <w:marRight w:val="0"/>
      <w:marTop w:val="0"/>
      <w:marBottom w:val="0"/>
      <w:divBdr>
        <w:top w:val="none" w:sz="0" w:space="0" w:color="auto"/>
        <w:left w:val="none" w:sz="0" w:space="0" w:color="auto"/>
        <w:bottom w:val="none" w:sz="0" w:space="0" w:color="auto"/>
        <w:right w:val="none" w:sz="0" w:space="0" w:color="auto"/>
      </w:divBdr>
    </w:div>
    <w:div w:id="492766694">
      <w:bodyDiv w:val="1"/>
      <w:marLeft w:val="0"/>
      <w:marRight w:val="0"/>
      <w:marTop w:val="0"/>
      <w:marBottom w:val="0"/>
      <w:divBdr>
        <w:top w:val="none" w:sz="0" w:space="0" w:color="auto"/>
        <w:left w:val="none" w:sz="0" w:space="0" w:color="auto"/>
        <w:bottom w:val="none" w:sz="0" w:space="0" w:color="auto"/>
        <w:right w:val="none" w:sz="0" w:space="0" w:color="auto"/>
      </w:divBdr>
    </w:div>
    <w:div w:id="515769300">
      <w:bodyDiv w:val="1"/>
      <w:marLeft w:val="0"/>
      <w:marRight w:val="0"/>
      <w:marTop w:val="0"/>
      <w:marBottom w:val="0"/>
      <w:divBdr>
        <w:top w:val="none" w:sz="0" w:space="0" w:color="auto"/>
        <w:left w:val="none" w:sz="0" w:space="0" w:color="auto"/>
        <w:bottom w:val="none" w:sz="0" w:space="0" w:color="auto"/>
        <w:right w:val="none" w:sz="0" w:space="0" w:color="auto"/>
      </w:divBdr>
    </w:div>
    <w:div w:id="757288876">
      <w:bodyDiv w:val="1"/>
      <w:marLeft w:val="0"/>
      <w:marRight w:val="0"/>
      <w:marTop w:val="0"/>
      <w:marBottom w:val="0"/>
      <w:divBdr>
        <w:top w:val="none" w:sz="0" w:space="0" w:color="auto"/>
        <w:left w:val="none" w:sz="0" w:space="0" w:color="auto"/>
        <w:bottom w:val="none" w:sz="0" w:space="0" w:color="auto"/>
        <w:right w:val="none" w:sz="0" w:space="0" w:color="auto"/>
      </w:divBdr>
    </w:div>
    <w:div w:id="898902505">
      <w:bodyDiv w:val="1"/>
      <w:marLeft w:val="0"/>
      <w:marRight w:val="0"/>
      <w:marTop w:val="0"/>
      <w:marBottom w:val="0"/>
      <w:divBdr>
        <w:top w:val="none" w:sz="0" w:space="0" w:color="auto"/>
        <w:left w:val="none" w:sz="0" w:space="0" w:color="auto"/>
        <w:bottom w:val="none" w:sz="0" w:space="0" w:color="auto"/>
        <w:right w:val="none" w:sz="0" w:space="0" w:color="auto"/>
      </w:divBdr>
    </w:div>
    <w:div w:id="916328590">
      <w:bodyDiv w:val="1"/>
      <w:marLeft w:val="0"/>
      <w:marRight w:val="0"/>
      <w:marTop w:val="0"/>
      <w:marBottom w:val="0"/>
      <w:divBdr>
        <w:top w:val="none" w:sz="0" w:space="0" w:color="auto"/>
        <w:left w:val="none" w:sz="0" w:space="0" w:color="auto"/>
        <w:bottom w:val="none" w:sz="0" w:space="0" w:color="auto"/>
        <w:right w:val="none" w:sz="0" w:space="0" w:color="auto"/>
      </w:divBdr>
    </w:div>
    <w:div w:id="993920909">
      <w:bodyDiv w:val="1"/>
      <w:marLeft w:val="0"/>
      <w:marRight w:val="0"/>
      <w:marTop w:val="0"/>
      <w:marBottom w:val="0"/>
      <w:divBdr>
        <w:top w:val="none" w:sz="0" w:space="0" w:color="auto"/>
        <w:left w:val="none" w:sz="0" w:space="0" w:color="auto"/>
        <w:bottom w:val="none" w:sz="0" w:space="0" w:color="auto"/>
        <w:right w:val="none" w:sz="0" w:space="0" w:color="auto"/>
      </w:divBdr>
    </w:div>
    <w:div w:id="1183738550">
      <w:bodyDiv w:val="1"/>
      <w:marLeft w:val="0"/>
      <w:marRight w:val="0"/>
      <w:marTop w:val="0"/>
      <w:marBottom w:val="0"/>
      <w:divBdr>
        <w:top w:val="none" w:sz="0" w:space="0" w:color="auto"/>
        <w:left w:val="none" w:sz="0" w:space="0" w:color="auto"/>
        <w:bottom w:val="none" w:sz="0" w:space="0" w:color="auto"/>
        <w:right w:val="none" w:sz="0" w:space="0" w:color="auto"/>
      </w:divBdr>
    </w:div>
    <w:div w:id="1213231802">
      <w:bodyDiv w:val="1"/>
      <w:marLeft w:val="0"/>
      <w:marRight w:val="0"/>
      <w:marTop w:val="0"/>
      <w:marBottom w:val="0"/>
      <w:divBdr>
        <w:top w:val="none" w:sz="0" w:space="0" w:color="auto"/>
        <w:left w:val="none" w:sz="0" w:space="0" w:color="auto"/>
        <w:bottom w:val="none" w:sz="0" w:space="0" w:color="auto"/>
        <w:right w:val="none" w:sz="0" w:space="0" w:color="auto"/>
      </w:divBdr>
    </w:div>
    <w:div w:id="1269892175">
      <w:bodyDiv w:val="1"/>
      <w:marLeft w:val="0"/>
      <w:marRight w:val="0"/>
      <w:marTop w:val="0"/>
      <w:marBottom w:val="0"/>
      <w:divBdr>
        <w:top w:val="none" w:sz="0" w:space="0" w:color="auto"/>
        <w:left w:val="none" w:sz="0" w:space="0" w:color="auto"/>
        <w:bottom w:val="none" w:sz="0" w:space="0" w:color="auto"/>
        <w:right w:val="none" w:sz="0" w:space="0" w:color="auto"/>
      </w:divBdr>
    </w:div>
    <w:div w:id="1291471845">
      <w:bodyDiv w:val="1"/>
      <w:marLeft w:val="0"/>
      <w:marRight w:val="0"/>
      <w:marTop w:val="0"/>
      <w:marBottom w:val="0"/>
      <w:divBdr>
        <w:top w:val="none" w:sz="0" w:space="0" w:color="auto"/>
        <w:left w:val="none" w:sz="0" w:space="0" w:color="auto"/>
        <w:bottom w:val="none" w:sz="0" w:space="0" w:color="auto"/>
        <w:right w:val="none" w:sz="0" w:space="0" w:color="auto"/>
      </w:divBdr>
    </w:div>
    <w:div w:id="1330524385">
      <w:bodyDiv w:val="1"/>
      <w:marLeft w:val="0"/>
      <w:marRight w:val="0"/>
      <w:marTop w:val="0"/>
      <w:marBottom w:val="0"/>
      <w:divBdr>
        <w:top w:val="none" w:sz="0" w:space="0" w:color="auto"/>
        <w:left w:val="none" w:sz="0" w:space="0" w:color="auto"/>
        <w:bottom w:val="none" w:sz="0" w:space="0" w:color="auto"/>
        <w:right w:val="none" w:sz="0" w:space="0" w:color="auto"/>
      </w:divBdr>
    </w:div>
    <w:div w:id="1394742594">
      <w:bodyDiv w:val="1"/>
      <w:marLeft w:val="0"/>
      <w:marRight w:val="0"/>
      <w:marTop w:val="0"/>
      <w:marBottom w:val="0"/>
      <w:divBdr>
        <w:top w:val="none" w:sz="0" w:space="0" w:color="auto"/>
        <w:left w:val="none" w:sz="0" w:space="0" w:color="auto"/>
        <w:bottom w:val="none" w:sz="0" w:space="0" w:color="auto"/>
        <w:right w:val="none" w:sz="0" w:space="0" w:color="auto"/>
      </w:divBdr>
    </w:div>
    <w:div w:id="1417365581">
      <w:bodyDiv w:val="1"/>
      <w:marLeft w:val="0"/>
      <w:marRight w:val="0"/>
      <w:marTop w:val="0"/>
      <w:marBottom w:val="0"/>
      <w:divBdr>
        <w:top w:val="none" w:sz="0" w:space="0" w:color="auto"/>
        <w:left w:val="none" w:sz="0" w:space="0" w:color="auto"/>
        <w:bottom w:val="none" w:sz="0" w:space="0" w:color="auto"/>
        <w:right w:val="none" w:sz="0" w:space="0" w:color="auto"/>
      </w:divBdr>
    </w:div>
    <w:div w:id="1481530885">
      <w:bodyDiv w:val="1"/>
      <w:marLeft w:val="0"/>
      <w:marRight w:val="0"/>
      <w:marTop w:val="0"/>
      <w:marBottom w:val="0"/>
      <w:divBdr>
        <w:top w:val="none" w:sz="0" w:space="0" w:color="auto"/>
        <w:left w:val="none" w:sz="0" w:space="0" w:color="auto"/>
        <w:bottom w:val="none" w:sz="0" w:space="0" w:color="auto"/>
        <w:right w:val="none" w:sz="0" w:space="0" w:color="auto"/>
      </w:divBdr>
    </w:div>
    <w:div w:id="1861238771">
      <w:bodyDiv w:val="1"/>
      <w:marLeft w:val="0"/>
      <w:marRight w:val="0"/>
      <w:marTop w:val="0"/>
      <w:marBottom w:val="0"/>
      <w:divBdr>
        <w:top w:val="none" w:sz="0" w:space="0" w:color="auto"/>
        <w:left w:val="none" w:sz="0" w:space="0" w:color="auto"/>
        <w:bottom w:val="none" w:sz="0" w:space="0" w:color="auto"/>
        <w:right w:val="none" w:sz="0" w:space="0" w:color="auto"/>
      </w:divBdr>
    </w:div>
    <w:div w:id="18738852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177CC9-BEB4-40FC-AAB6-A07A27DC74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33</Pages>
  <Words>8327</Words>
  <Characters>46793</Characters>
  <Application>Microsoft Office Word</Application>
  <DocSecurity>4</DocSecurity>
  <Lines>389</Lines>
  <Paragraphs>110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55010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khiggins</dc:creator>
  <cp:lastModifiedBy>Deyla Ramirez</cp:lastModifiedBy>
  <cp:revision>2</cp:revision>
  <cp:lastPrinted>2021-10-22T18:44:00Z</cp:lastPrinted>
  <dcterms:created xsi:type="dcterms:W3CDTF">2021-10-22T18:46:00Z</dcterms:created>
  <dcterms:modified xsi:type="dcterms:W3CDTF">2021-10-22T18:46:00Z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
  </property>
</Properties>
</file>